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1BFD84" w14:textId="77777777" w:rsidR="00CD5C0E" w:rsidRPr="0039137B" w:rsidRDefault="00CD5C0E" w:rsidP="00CD5C0E">
      <w:pPr>
        <w:pStyle w:val="Textbody"/>
        <w:rPr>
          <w:lang w:val="pl-PL"/>
        </w:rPr>
      </w:pPr>
      <w:r w:rsidRPr="0039137B">
        <w:rPr>
          <w:i/>
          <w:u w:val="single"/>
          <w:lang w:val="pl-PL"/>
        </w:rPr>
        <w:t>Załącznik nr 1a</w:t>
      </w:r>
    </w:p>
    <w:p w14:paraId="0FD96DB9" w14:textId="77777777" w:rsidR="00CD5C0E" w:rsidRPr="0039137B" w:rsidRDefault="00CD5C0E" w:rsidP="00CD5C0E">
      <w:pPr>
        <w:pStyle w:val="Textbody"/>
        <w:jc w:val="both"/>
        <w:rPr>
          <w:lang w:val="pl-PL"/>
        </w:rPr>
      </w:pPr>
      <w:r w:rsidRPr="0039137B">
        <w:rPr>
          <w:i/>
          <w:lang w:val="pl-PL"/>
        </w:rPr>
        <w:t>Do procedury wewnętrznej</w:t>
      </w:r>
    </w:p>
    <w:p w14:paraId="23531199" w14:textId="77777777" w:rsidR="00CD5C0E" w:rsidRPr="0039137B" w:rsidRDefault="00CD5C0E" w:rsidP="00CD5C0E">
      <w:pPr>
        <w:pStyle w:val="Textbody"/>
        <w:jc w:val="both"/>
        <w:rPr>
          <w:lang w:val="pl-PL"/>
        </w:rPr>
      </w:pPr>
      <w:r w:rsidRPr="0039137B">
        <w:rPr>
          <w:i/>
          <w:lang w:val="pl-PL"/>
        </w:rPr>
        <w:t xml:space="preserve">w zakresie przeciwdziałania praniu pieniędzy </w:t>
      </w:r>
    </w:p>
    <w:p w14:paraId="44D6E7AF" w14:textId="77777777" w:rsidR="00CD5C0E" w:rsidRPr="0039137B" w:rsidRDefault="00CD5C0E" w:rsidP="00CD5C0E">
      <w:pPr>
        <w:pStyle w:val="Textbody"/>
        <w:jc w:val="both"/>
        <w:rPr>
          <w:lang w:val="pl-PL"/>
        </w:rPr>
      </w:pPr>
      <w:r w:rsidRPr="0039137B">
        <w:rPr>
          <w:i/>
          <w:lang w:val="pl-PL"/>
        </w:rPr>
        <w:t>oraz finansowaniu terroryzmu</w:t>
      </w:r>
    </w:p>
    <w:p w14:paraId="0382FAE5" w14:textId="77777777" w:rsidR="00CD5C0E" w:rsidRPr="0039137B" w:rsidRDefault="00CD5C0E" w:rsidP="00CD5C0E">
      <w:pPr>
        <w:pStyle w:val="Textbody"/>
        <w:jc w:val="both"/>
        <w:rPr>
          <w:lang w:val="pl-PL"/>
        </w:rPr>
      </w:pPr>
      <w:r w:rsidRPr="0039137B">
        <w:rPr>
          <w:lang w:val="pl-PL"/>
        </w:rPr>
        <w:t xml:space="preserve"> </w:t>
      </w:r>
    </w:p>
    <w:p w14:paraId="52DFE042" w14:textId="77777777" w:rsidR="00CD5C0E" w:rsidRPr="0039137B" w:rsidRDefault="00CD5C0E" w:rsidP="00CD5C0E">
      <w:pPr>
        <w:pStyle w:val="Textbody"/>
        <w:jc w:val="both"/>
        <w:rPr>
          <w:lang w:val="pl-PL"/>
        </w:rPr>
      </w:pPr>
      <w:r w:rsidRPr="0039137B">
        <w:rPr>
          <w:lang w:val="pl-PL"/>
        </w:rPr>
        <w:t xml:space="preserve"> </w:t>
      </w:r>
    </w:p>
    <w:p w14:paraId="71AB1F3D" w14:textId="77777777" w:rsidR="00CD5C0E" w:rsidRPr="001D6851" w:rsidRDefault="00CD5C0E" w:rsidP="00CD5C0E">
      <w:pPr>
        <w:pStyle w:val="Textbody"/>
        <w:jc w:val="right"/>
        <w:rPr>
          <w:b/>
          <w:lang w:val="pl-PL"/>
        </w:rPr>
      </w:pPr>
      <w:r w:rsidRPr="001D6851">
        <w:rPr>
          <w:b/>
          <w:lang w:val="pl-PL"/>
        </w:rPr>
        <w:t>&lt;</w:t>
      </w:r>
      <w:proofErr w:type="spellStart"/>
      <w:r w:rsidRPr="001D6851">
        <w:rPr>
          <w:b/>
          <w:lang w:val="pl-PL"/>
        </w:rPr>
        <w:t>O;ZestAnkieta</w:t>
      </w:r>
      <w:r>
        <w:rPr>
          <w:b/>
          <w:lang w:val="pl-PL"/>
        </w:rPr>
        <w:t>.Kancelaria.</w:t>
      </w:r>
      <w:r w:rsidRPr="001D6851">
        <w:rPr>
          <w:b/>
          <w:lang w:val="pl-PL"/>
        </w:rPr>
        <w:t>Miejscowosc</w:t>
      </w:r>
      <w:proofErr w:type="spellEnd"/>
      <w:r w:rsidRPr="001D6851">
        <w:rPr>
          <w:b/>
          <w:lang w:val="pl-PL"/>
        </w:rPr>
        <w:t>&gt;, &lt;</w:t>
      </w:r>
      <w:proofErr w:type="spellStart"/>
      <w:r w:rsidRPr="001D6851">
        <w:rPr>
          <w:b/>
          <w:lang w:val="pl-PL"/>
        </w:rPr>
        <w:t>O;ZestAnkieta</w:t>
      </w:r>
      <w:r>
        <w:rPr>
          <w:b/>
          <w:lang w:val="pl-PL"/>
        </w:rPr>
        <w:t>.Data</w:t>
      </w:r>
      <w:proofErr w:type="spellEnd"/>
      <w:r w:rsidRPr="001D6851">
        <w:rPr>
          <w:b/>
          <w:lang w:val="pl-PL"/>
        </w:rPr>
        <w:t xml:space="preserve">&gt; r. </w:t>
      </w:r>
    </w:p>
    <w:p w14:paraId="4CDA4A24" w14:textId="77777777" w:rsidR="00CD5C0E" w:rsidRPr="0039137B" w:rsidRDefault="00CD5C0E" w:rsidP="00CD5C0E">
      <w:pPr>
        <w:pStyle w:val="Textbody"/>
        <w:jc w:val="center"/>
        <w:rPr>
          <w:lang w:val="pl-PL"/>
        </w:rPr>
      </w:pPr>
      <w:r w:rsidRPr="0039137B">
        <w:rPr>
          <w:lang w:val="pl-PL"/>
        </w:rPr>
        <w:t xml:space="preserve"> </w:t>
      </w:r>
    </w:p>
    <w:p w14:paraId="6D5B1EF7" w14:textId="77777777" w:rsidR="00CD5C0E" w:rsidRPr="0039137B" w:rsidRDefault="00CD5C0E" w:rsidP="00CD5C0E">
      <w:pPr>
        <w:pStyle w:val="Textbody"/>
        <w:jc w:val="center"/>
        <w:rPr>
          <w:lang w:val="pl-PL"/>
        </w:rPr>
      </w:pPr>
      <w:r w:rsidRPr="0039137B">
        <w:rPr>
          <w:lang w:val="pl-PL"/>
        </w:rPr>
        <w:t xml:space="preserve"> </w:t>
      </w:r>
    </w:p>
    <w:p w14:paraId="5BBFEC67" w14:textId="77777777" w:rsidR="00CD5C0E" w:rsidRPr="0039137B" w:rsidRDefault="00CD5C0E" w:rsidP="00CD5C0E">
      <w:pPr>
        <w:pStyle w:val="Textbody"/>
        <w:jc w:val="center"/>
        <w:rPr>
          <w:lang w:val="pl-PL"/>
        </w:rPr>
      </w:pPr>
      <w:r w:rsidRPr="0039137B">
        <w:rPr>
          <w:b/>
          <w:lang w:val="pl-PL"/>
        </w:rPr>
        <w:t>OCENA RYZYKA PRZYJĘTA PRZEZ</w:t>
      </w:r>
    </w:p>
    <w:p w14:paraId="6CDD233A" w14:textId="77777777" w:rsidR="00CD5C0E" w:rsidRPr="0039137B" w:rsidRDefault="00CD5C0E" w:rsidP="00CD5C0E">
      <w:pPr>
        <w:pStyle w:val="Textbody"/>
        <w:jc w:val="center"/>
        <w:rPr>
          <w:lang w:val="pl-PL"/>
        </w:rPr>
      </w:pPr>
      <w:r w:rsidRPr="0039137B">
        <w:rPr>
          <w:b/>
          <w:lang w:val="pl-PL"/>
        </w:rPr>
        <w:t xml:space="preserve">Notariusza </w:t>
      </w:r>
      <w:r w:rsidRPr="001D6851">
        <w:rPr>
          <w:b/>
          <w:lang w:val="pl-PL"/>
        </w:rPr>
        <w:t>&lt;</w:t>
      </w:r>
      <w:proofErr w:type="spellStart"/>
      <w:r w:rsidRPr="001D6851">
        <w:rPr>
          <w:b/>
          <w:lang w:val="pl-PL"/>
        </w:rPr>
        <w:t>O;ZestAnkieta</w:t>
      </w:r>
      <w:r>
        <w:rPr>
          <w:b/>
          <w:lang w:val="pl-PL"/>
        </w:rPr>
        <w:t>.Kancelaria.Nazwa</w:t>
      </w:r>
      <w:proofErr w:type="spellEnd"/>
      <w:r w:rsidRPr="001D6851">
        <w:rPr>
          <w:b/>
          <w:lang w:val="pl-PL"/>
        </w:rPr>
        <w:t>&gt;</w:t>
      </w:r>
      <w:r w:rsidRPr="0039137B">
        <w:rPr>
          <w:b/>
          <w:lang w:val="pl-PL"/>
        </w:rPr>
        <w:t xml:space="preserve"> </w:t>
      </w:r>
    </w:p>
    <w:p w14:paraId="7A9D52EA" w14:textId="77777777" w:rsidR="00CD5C0E" w:rsidRPr="0039137B" w:rsidRDefault="00CD5C0E" w:rsidP="00CD5C0E">
      <w:pPr>
        <w:pStyle w:val="Textbody"/>
        <w:jc w:val="center"/>
        <w:rPr>
          <w:lang w:val="pl-PL"/>
        </w:rPr>
      </w:pPr>
      <w:bookmarkStart w:id="0" w:name="__DdeLink__1_2103693056"/>
      <w:bookmarkEnd w:id="0"/>
      <w:r w:rsidRPr="0039137B">
        <w:rPr>
          <w:b/>
          <w:lang w:val="pl-PL"/>
        </w:rPr>
        <w:t>&lt;</w:t>
      </w:r>
      <w:proofErr w:type="spellStart"/>
      <w:r w:rsidRPr="001D6851">
        <w:rPr>
          <w:b/>
          <w:lang w:val="pl-PL"/>
        </w:rPr>
        <w:t>O;ZestAnkieta</w:t>
      </w:r>
      <w:r>
        <w:rPr>
          <w:b/>
          <w:lang w:val="pl-PL"/>
        </w:rPr>
        <w:t>.Kancelaria.Adres</w:t>
      </w:r>
      <w:proofErr w:type="spellEnd"/>
      <w:r w:rsidRPr="001D6851">
        <w:rPr>
          <w:b/>
          <w:lang w:val="pl-PL"/>
        </w:rPr>
        <w:t>&gt;</w:t>
      </w:r>
    </w:p>
    <w:p w14:paraId="0082DC1D" w14:textId="236330D6" w:rsidR="00CD5C0E" w:rsidRPr="0039137B" w:rsidRDefault="00CD5C0E" w:rsidP="00CD5C0E">
      <w:pPr>
        <w:pStyle w:val="Textbody"/>
        <w:jc w:val="center"/>
        <w:rPr>
          <w:lang w:val="pl-PL"/>
        </w:rPr>
      </w:pPr>
      <w:r w:rsidRPr="0039137B">
        <w:rPr>
          <w:b/>
          <w:lang w:val="pl-PL"/>
        </w:rPr>
        <w:t>&lt;</w:t>
      </w:r>
      <w:proofErr w:type="spellStart"/>
      <w:r w:rsidR="00213480">
        <w:rPr>
          <w:b/>
          <w:lang w:val="pl-PL"/>
        </w:rPr>
        <w:t>O</w:t>
      </w:r>
      <w:r w:rsidRPr="001D6851">
        <w:rPr>
          <w:b/>
          <w:lang w:val="pl-PL"/>
        </w:rPr>
        <w:t>;ZestAnkieta</w:t>
      </w:r>
      <w:r>
        <w:rPr>
          <w:b/>
          <w:lang w:val="pl-PL"/>
        </w:rPr>
        <w:t>.Kancelaria.Nip</w:t>
      </w:r>
      <w:proofErr w:type="spellEnd"/>
      <w:r w:rsidRPr="0039137B">
        <w:rPr>
          <w:b/>
          <w:lang w:val="pl-PL"/>
        </w:rPr>
        <w:t>&gt;</w:t>
      </w:r>
    </w:p>
    <w:p w14:paraId="3742F6D0" w14:textId="77777777" w:rsidR="00CD5C0E" w:rsidRPr="0039137B" w:rsidRDefault="00CD5C0E" w:rsidP="00CD5C0E">
      <w:pPr>
        <w:pStyle w:val="Textbody"/>
        <w:jc w:val="center"/>
        <w:rPr>
          <w:lang w:val="pl-PL"/>
        </w:rPr>
      </w:pPr>
      <w:r w:rsidRPr="0039137B">
        <w:rPr>
          <w:lang w:val="pl-PL"/>
        </w:rPr>
        <w:t xml:space="preserve"> </w:t>
      </w:r>
    </w:p>
    <w:p w14:paraId="1F035ED6" w14:textId="77777777" w:rsidR="00CD5C0E" w:rsidRPr="0039137B" w:rsidRDefault="00CD5C0E" w:rsidP="00CD5C0E">
      <w:pPr>
        <w:pStyle w:val="Textbody"/>
        <w:jc w:val="center"/>
        <w:rPr>
          <w:lang w:val="pl-PL"/>
        </w:rPr>
      </w:pPr>
      <w:r w:rsidRPr="0039137B">
        <w:rPr>
          <w:b/>
          <w:lang w:val="pl-PL"/>
        </w:rPr>
        <w:t>§ 1</w:t>
      </w:r>
    </w:p>
    <w:p w14:paraId="5F59EB71" w14:textId="77777777" w:rsidR="00CD5C0E" w:rsidRPr="0039137B" w:rsidRDefault="00CD5C0E" w:rsidP="00CD5C0E">
      <w:pPr>
        <w:pStyle w:val="Textbody"/>
        <w:jc w:val="center"/>
        <w:rPr>
          <w:lang w:val="pl-PL"/>
        </w:rPr>
      </w:pPr>
      <w:r w:rsidRPr="0039137B">
        <w:rPr>
          <w:b/>
          <w:lang w:val="pl-PL"/>
        </w:rPr>
        <w:t>Podstawa prawna</w:t>
      </w:r>
    </w:p>
    <w:p w14:paraId="17AA34A1" w14:textId="77777777" w:rsidR="00CD5C0E" w:rsidRPr="0039137B" w:rsidRDefault="00CD5C0E" w:rsidP="00CD5C0E">
      <w:pPr>
        <w:pStyle w:val="Textbody"/>
        <w:jc w:val="both"/>
        <w:rPr>
          <w:lang w:val="pl-PL"/>
        </w:rPr>
      </w:pPr>
    </w:p>
    <w:p w14:paraId="77B1D183" w14:textId="77777777" w:rsidR="00CD5C0E" w:rsidRPr="0039137B" w:rsidRDefault="00CD5C0E" w:rsidP="00CD5C0E">
      <w:pPr>
        <w:pStyle w:val="Textbody"/>
        <w:jc w:val="both"/>
        <w:rPr>
          <w:lang w:val="pl-PL"/>
        </w:rPr>
      </w:pPr>
      <w:r w:rsidRPr="0039137B">
        <w:rPr>
          <w:lang w:val="pl-PL"/>
        </w:rPr>
        <w:t xml:space="preserve">Art. 27 i art. 33 ustawy z dnia 1 marca 2018 r. o przeciwdziałaniu praniu pieniędzy oraz finansowaniu terroryzmu (Dz. U. z 2018 r., poz. 723 ze zm.) (dalej: Ustawa). </w:t>
      </w:r>
    </w:p>
    <w:p w14:paraId="7BBF844D" w14:textId="77777777" w:rsidR="00CD5C0E" w:rsidRPr="0039137B" w:rsidRDefault="00CD5C0E" w:rsidP="00CD5C0E">
      <w:pPr>
        <w:pStyle w:val="Textbody"/>
        <w:jc w:val="center"/>
        <w:rPr>
          <w:lang w:val="pl-PL"/>
        </w:rPr>
      </w:pPr>
    </w:p>
    <w:p w14:paraId="7D436598" w14:textId="77777777" w:rsidR="00CD5C0E" w:rsidRPr="0039137B" w:rsidRDefault="00CD5C0E" w:rsidP="00CD5C0E">
      <w:pPr>
        <w:pStyle w:val="Default"/>
        <w:jc w:val="center"/>
        <w:rPr>
          <w:lang w:val="pl-PL"/>
        </w:rPr>
      </w:pPr>
    </w:p>
    <w:p w14:paraId="1D9D8084" w14:textId="77777777" w:rsidR="00CD5C0E" w:rsidRPr="0039137B" w:rsidRDefault="00CD5C0E" w:rsidP="00CD5C0E">
      <w:pPr>
        <w:pStyle w:val="Default"/>
        <w:jc w:val="center"/>
        <w:rPr>
          <w:lang w:val="pl-PL"/>
        </w:rPr>
      </w:pPr>
      <w:r w:rsidRPr="0039137B">
        <w:rPr>
          <w:b/>
          <w:lang w:val="pl-PL"/>
        </w:rPr>
        <w:t>§ 2</w:t>
      </w:r>
    </w:p>
    <w:p w14:paraId="3E580B04" w14:textId="77777777" w:rsidR="00CD5C0E" w:rsidRPr="0039137B" w:rsidRDefault="00CD5C0E" w:rsidP="00CD5C0E">
      <w:pPr>
        <w:pStyle w:val="Default"/>
        <w:jc w:val="center"/>
        <w:rPr>
          <w:lang w:val="pl-PL"/>
        </w:rPr>
      </w:pPr>
      <w:r w:rsidRPr="0039137B">
        <w:rPr>
          <w:b/>
          <w:lang w:val="pl-PL"/>
        </w:rPr>
        <w:t>Cele oceny ryzyka</w:t>
      </w:r>
    </w:p>
    <w:p w14:paraId="52AB61BB" w14:textId="77777777" w:rsidR="00CD5C0E" w:rsidRPr="0039137B" w:rsidRDefault="00CD5C0E" w:rsidP="00CD5C0E">
      <w:pPr>
        <w:pStyle w:val="Default"/>
        <w:jc w:val="center"/>
        <w:rPr>
          <w:lang w:val="pl-PL"/>
        </w:rPr>
      </w:pPr>
    </w:p>
    <w:p w14:paraId="13D13581" w14:textId="77777777" w:rsidR="00CD5C0E" w:rsidRPr="0039137B" w:rsidRDefault="00CD5C0E" w:rsidP="00CD5C0E">
      <w:pPr>
        <w:pStyle w:val="Default"/>
        <w:numPr>
          <w:ilvl w:val="0"/>
          <w:numId w:val="1"/>
        </w:numPr>
        <w:tabs>
          <w:tab w:val="left" w:pos="360"/>
        </w:tabs>
        <w:jc w:val="both"/>
        <w:rPr>
          <w:lang w:val="pl-PL"/>
        </w:rPr>
      </w:pPr>
      <w:r w:rsidRPr="0039137B">
        <w:rPr>
          <w:lang w:val="pl-PL"/>
        </w:rPr>
        <w:t>Niniejsza ocena ryzyka</w:t>
      </w:r>
      <w:r w:rsidRPr="0039137B">
        <w:rPr>
          <w:b/>
          <w:lang w:val="pl-PL"/>
        </w:rPr>
        <w:t xml:space="preserve"> </w:t>
      </w:r>
      <w:r w:rsidRPr="0039137B">
        <w:rPr>
          <w:lang w:val="pl-PL"/>
        </w:rPr>
        <w:t xml:space="preserve">służy notariuszowi jako instytucji obowiązanej do oceny ryzyka związanego z praniem pieniędzy i finansowaniem terroryzmu odnoszącego się do jego działalności zawodowej, z uwzględnieniem czynników ryzyka dotyczących klientów, państw lub obszarów geograficznych, produktów, usług, transakcji lub kanałów ich dostaw oraz do </w:t>
      </w:r>
      <w:r w:rsidRPr="0039137B">
        <w:rPr>
          <w:u w:val="single"/>
          <w:lang w:val="pl-PL"/>
        </w:rPr>
        <w:t>rozpoznania</w:t>
      </w:r>
      <w:r w:rsidRPr="0039137B">
        <w:rPr>
          <w:lang w:val="pl-PL"/>
        </w:rPr>
        <w:t xml:space="preserve"> i </w:t>
      </w:r>
      <w:r w:rsidRPr="0039137B">
        <w:rPr>
          <w:u w:val="single"/>
          <w:lang w:val="pl-PL"/>
        </w:rPr>
        <w:t>oceny</w:t>
      </w:r>
      <w:r w:rsidRPr="0039137B">
        <w:rPr>
          <w:b/>
          <w:u w:val="single"/>
          <w:lang w:val="pl-PL"/>
        </w:rPr>
        <w:t xml:space="preserve"> </w:t>
      </w:r>
      <w:r w:rsidRPr="0039137B">
        <w:rPr>
          <w:lang w:val="pl-PL"/>
        </w:rPr>
        <w:t xml:space="preserve">ryzyka </w:t>
      </w:r>
      <w:r w:rsidRPr="0039137B">
        <w:rPr>
          <w:rStyle w:val="Uwydatnienie"/>
          <w:lang w:val="pl-PL"/>
        </w:rPr>
        <w:t>prania pieniędzy</w:t>
      </w:r>
      <w:r w:rsidRPr="0039137B">
        <w:rPr>
          <w:lang w:val="pl-PL"/>
        </w:rPr>
        <w:t xml:space="preserve"> oraz finansowania terroryzmu związanego z transakcją, z uwzględnieniem w szczególności czynników dotyczących rodzaju klienta, beneficjenta rzeczywistego, krajów i obszarów geograficznych, rodzaju i przedmiotu czynności objętej aktem notarialnym, poziomu wartości majątkowych deponowanych przez klienta lub wartości przeprowadzonych transakcji oraz celu transakcji. </w:t>
      </w:r>
    </w:p>
    <w:p w14:paraId="5BFE3EEC" w14:textId="77777777" w:rsidR="00CD5C0E" w:rsidRPr="0039137B" w:rsidRDefault="00CD5C0E" w:rsidP="00CD5C0E">
      <w:pPr>
        <w:pStyle w:val="Default"/>
        <w:numPr>
          <w:ilvl w:val="0"/>
          <w:numId w:val="1"/>
        </w:numPr>
        <w:tabs>
          <w:tab w:val="left" w:pos="360"/>
        </w:tabs>
        <w:jc w:val="both"/>
        <w:rPr>
          <w:lang w:val="pl-PL"/>
        </w:rPr>
      </w:pPr>
      <w:r w:rsidRPr="0039137B">
        <w:rPr>
          <w:lang w:val="pl-PL"/>
        </w:rPr>
        <w:t xml:space="preserve">Ocena ryzyka została sporządzona z uwzględnieniem specyfiki prowadzonej przez notariusza kancelarii notarialnej oraz charakteru działalności jego działalności, która cechuje się tym, że: </w:t>
      </w:r>
    </w:p>
    <w:p w14:paraId="43C0D241" w14:textId="77777777" w:rsidR="00CD5C0E" w:rsidRPr="0039137B" w:rsidRDefault="00CD5C0E" w:rsidP="00CD5C0E">
      <w:pPr>
        <w:pStyle w:val="Default"/>
        <w:numPr>
          <w:ilvl w:val="0"/>
          <w:numId w:val="2"/>
        </w:numPr>
        <w:tabs>
          <w:tab w:val="left" w:pos="786"/>
        </w:tabs>
        <w:jc w:val="both"/>
        <w:rPr>
          <w:lang w:val="pl-PL"/>
        </w:rPr>
      </w:pPr>
      <w:r w:rsidRPr="0039137B">
        <w:rPr>
          <w:lang w:val="pl-PL"/>
        </w:rPr>
        <w:t>sposób dokumentowania czynności wskazanych w art. 2 ust. 1 pkt 13) Ustawy, dokonywanych w formie aktu notarialnego, wyklucza możliwość zachowania anonimowości przez klienta (stronę czynności); transakcje dokonywane w formie aktu notarialnego nigdy nie są realizowane na rzecz anonimowej osoby trzeciej,</w:t>
      </w:r>
    </w:p>
    <w:p w14:paraId="574EDE61" w14:textId="77777777" w:rsidR="00CD5C0E" w:rsidRPr="0039137B" w:rsidRDefault="00CD5C0E" w:rsidP="00CD5C0E">
      <w:pPr>
        <w:pStyle w:val="Default"/>
        <w:numPr>
          <w:ilvl w:val="0"/>
          <w:numId w:val="2"/>
        </w:numPr>
        <w:tabs>
          <w:tab w:val="left" w:pos="786"/>
        </w:tabs>
        <w:jc w:val="both"/>
        <w:rPr>
          <w:lang w:val="pl-PL"/>
        </w:rPr>
      </w:pPr>
      <w:r w:rsidRPr="0039137B">
        <w:rPr>
          <w:lang w:val="pl-PL"/>
        </w:rPr>
        <w:lastRenderedPageBreak/>
        <w:t xml:space="preserve">brak jest możliwości dokonania w formie aktu notarialnego czynności pod nieobecność stron. Jeśli w imieniu strony czynności objętej aktem notarialnym działa pełnomocnik, to dane mocodawcy oraz pełnomocnika są udokumentowane pełnomocnictwem sporządzonym w kwalifikowanej formie (akt notarialny lub w przypadku pełnomocnictw sporządzonych poza granicami Rzeczypospolitej Polskiej w formie wymaganej przez prawo miejsca udzielenia pełnomocnictwa), </w:t>
      </w:r>
    </w:p>
    <w:p w14:paraId="07B6161E" w14:textId="77777777" w:rsidR="00CD5C0E" w:rsidRPr="0039137B" w:rsidRDefault="00CD5C0E" w:rsidP="00CD5C0E">
      <w:pPr>
        <w:pStyle w:val="Default"/>
        <w:numPr>
          <w:ilvl w:val="0"/>
          <w:numId w:val="2"/>
        </w:numPr>
        <w:tabs>
          <w:tab w:val="left" w:pos="786"/>
        </w:tabs>
        <w:jc w:val="both"/>
        <w:rPr>
          <w:lang w:val="pl-PL"/>
        </w:rPr>
      </w:pPr>
      <w:r w:rsidRPr="0039137B">
        <w:rPr>
          <w:lang w:val="pl-PL"/>
        </w:rPr>
        <w:t xml:space="preserve">dane stron czynności dokonanych w formie aktu notarialnego zawsze są ustalane i weryfikowane na podstawie okazanych oryginałów dokumentów stwierdzających tożsamość lub zgodnie z przepisem art. 85 ustawy z dnia 14 lutego 1991 r. Prawo o notariacie (tekst jednolity Dz. U. z 20xx r., poz. xxx) (dalej: Prawo o notariacie), </w:t>
      </w:r>
    </w:p>
    <w:p w14:paraId="6F7B3F6F" w14:textId="77777777" w:rsidR="00CD5C0E" w:rsidRPr="0039137B" w:rsidRDefault="00CD5C0E" w:rsidP="00CD5C0E">
      <w:pPr>
        <w:pStyle w:val="Default"/>
        <w:numPr>
          <w:ilvl w:val="0"/>
          <w:numId w:val="2"/>
        </w:numPr>
        <w:tabs>
          <w:tab w:val="left" w:pos="786"/>
        </w:tabs>
        <w:jc w:val="both"/>
        <w:rPr>
          <w:lang w:val="pl-PL"/>
        </w:rPr>
      </w:pPr>
      <w:r w:rsidRPr="0039137B">
        <w:rPr>
          <w:lang w:val="pl-PL"/>
        </w:rPr>
        <w:t>zobowiązania pieniężne wynikające z czynności dokonanych w formie aktu notarialnego często finansowane są środkami pochodzącymi z kredytów bankowych udzielonych stronom przed zawarciem transakcji, co oznacza, że strona zobowiązana do zapłaty została dodatkowo zweryfikowana przez inną niż notariusz instytucję obowiązaną; w przypadku, gdy płatność jest dokonywana ze środków własnych klienta, płatność najczęściej jest bezgotówkowa,</w:t>
      </w:r>
      <w:r w:rsidRPr="0039137B">
        <w:rPr>
          <w:lang w:val="pl-PL"/>
        </w:rPr>
        <w:tab/>
      </w:r>
    </w:p>
    <w:p w14:paraId="663D6A8D" w14:textId="77777777" w:rsidR="00CD5C0E" w:rsidRPr="0039137B" w:rsidRDefault="00CD5C0E" w:rsidP="00CD5C0E">
      <w:pPr>
        <w:pStyle w:val="Default"/>
        <w:numPr>
          <w:ilvl w:val="0"/>
          <w:numId w:val="2"/>
        </w:numPr>
        <w:tabs>
          <w:tab w:val="left" w:pos="786"/>
        </w:tabs>
        <w:jc w:val="both"/>
        <w:rPr>
          <w:lang w:val="pl-PL"/>
        </w:rPr>
      </w:pPr>
      <w:r w:rsidRPr="0039137B">
        <w:rPr>
          <w:lang w:val="pl-PL"/>
        </w:rPr>
        <w:t>płatności dokonywane przez strony nie są elastyczne, tzn. nie przewidują możliwości wpłaty kwoty większej niż określona w akcie notarialnym i późniejszego zwrotu nadpłaty na rzecz podmiotu wpłacającego lub podmiotu trzeciego,</w:t>
      </w:r>
    </w:p>
    <w:p w14:paraId="5D2D8C58" w14:textId="77777777" w:rsidR="00CD5C0E" w:rsidRPr="0039137B" w:rsidRDefault="00CD5C0E" w:rsidP="00CD5C0E">
      <w:pPr>
        <w:pStyle w:val="Default"/>
        <w:numPr>
          <w:ilvl w:val="0"/>
          <w:numId w:val="2"/>
        </w:numPr>
        <w:tabs>
          <w:tab w:val="left" w:pos="786"/>
        </w:tabs>
        <w:jc w:val="both"/>
        <w:rPr>
          <w:lang w:val="pl-PL"/>
        </w:rPr>
      </w:pPr>
      <w:r w:rsidRPr="0039137B">
        <w:rPr>
          <w:lang w:val="pl-PL"/>
        </w:rPr>
        <w:t>zawarte w aktach notarialnych oświadczenia dotyczące stanu faktycznego i prawnego przedmiotu aktu notarialnego składane są przez strony w oparciu o publiczne rejestry (np. dane zawarte w elektronicznych księgach wieczystych), dokumenty urzędowe (np. wypisy z ewidencji gruntów i budynków, wyrysy z map ewidencyjnych, akty notarialne, orzeczenia sądowe lub decyzje administracyjne),</w:t>
      </w:r>
    </w:p>
    <w:p w14:paraId="376E061A" w14:textId="77777777" w:rsidR="00CD5C0E" w:rsidRPr="0039137B" w:rsidRDefault="00CD5C0E" w:rsidP="00CD5C0E">
      <w:pPr>
        <w:pStyle w:val="Default"/>
        <w:numPr>
          <w:ilvl w:val="0"/>
          <w:numId w:val="2"/>
        </w:numPr>
        <w:tabs>
          <w:tab w:val="left" w:pos="786"/>
        </w:tabs>
        <w:jc w:val="both"/>
        <w:rPr>
          <w:lang w:val="pl-PL"/>
        </w:rPr>
      </w:pPr>
      <w:r w:rsidRPr="0039137B">
        <w:rPr>
          <w:lang w:val="pl-PL"/>
        </w:rPr>
        <w:t>akty notarialne sporządzane są przy zachowaniu należytej staranności,</w:t>
      </w:r>
    </w:p>
    <w:p w14:paraId="12ECF022" w14:textId="77777777" w:rsidR="00CD5C0E" w:rsidRPr="0039137B" w:rsidRDefault="00CD5C0E" w:rsidP="00CD5C0E">
      <w:pPr>
        <w:pStyle w:val="Default"/>
        <w:numPr>
          <w:ilvl w:val="0"/>
          <w:numId w:val="2"/>
        </w:numPr>
        <w:tabs>
          <w:tab w:val="left" w:pos="786"/>
        </w:tabs>
        <w:jc w:val="both"/>
        <w:rPr>
          <w:lang w:val="pl-PL"/>
        </w:rPr>
      </w:pPr>
      <w:r w:rsidRPr="0039137B">
        <w:rPr>
          <w:lang w:val="pl-PL"/>
        </w:rPr>
        <w:t>akty notarialne zawsze są zawierane osobiście (przez klienta, jego pełnomocnika lub przedstawiciela ustawowego). Na podstawie obecnych regulacji prawnych nie ma możliwości zawarcia aktu notarialnego przy użyciu środków porozumiewania się na odległość (komunikacji elektronicznej).</w:t>
      </w:r>
    </w:p>
    <w:p w14:paraId="26C51647" w14:textId="77777777" w:rsidR="00CD5C0E" w:rsidRPr="0039137B" w:rsidRDefault="00CD5C0E" w:rsidP="00CD5C0E">
      <w:pPr>
        <w:pStyle w:val="Default"/>
        <w:numPr>
          <w:ilvl w:val="0"/>
          <w:numId w:val="2"/>
        </w:numPr>
        <w:tabs>
          <w:tab w:val="left" w:pos="786"/>
        </w:tabs>
        <w:jc w:val="both"/>
        <w:rPr>
          <w:lang w:val="pl-PL"/>
        </w:rPr>
      </w:pPr>
      <w:r w:rsidRPr="0039137B">
        <w:rPr>
          <w:lang w:val="pl-PL"/>
        </w:rPr>
        <w:t xml:space="preserve">specyfika ryzyka związanego z praniem pieniędzy i finansowaniem terroryzmu odnoszącego się do działalności notariusza, jest podobna jak w przypadku innych kancelarii notarialnych, ze względu na standardowy zakres czynności wyznaczony przez art. 2 ust. 1 pkt 13 Ustawy oraz ze względu na wykluczoną, mocą ustawy z dnia 14 lutego 1991 r. Prawo o notariacie (dalej: </w:t>
      </w:r>
      <w:r w:rsidRPr="0039137B">
        <w:rPr>
          <w:b/>
          <w:lang w:val="pl-PL"/>
        </w:rPr>
        <w:t>Prawo o notariacie</w:t>
      </w:r>
      <w:r w:rsidRPr="0039137B">
        <w:rPr>
          <w:lang w:val="pl-PL"/>
        </w:rPr>
        <w:t>), możliwość ograniczenia przez notariusza swojej działalności do wyspecjalizowanych czynności. Stosownie do art. 79 Prawa o notariacie każdy notariusz ma obowiązek dokonać każdej czynności, która nie jest sprzeczna z prawem bez względu na położenie kancelarii, rodzaj klientów oraz rodzaj przygotowywanych czynności. Stosownie do art. 81 Prawa o notariacie notariusz ma obowiązek odmówić dokonania wyłącznie czynności sprzecznej z prawem. Ocena ryzyka związanego z praniem pieniędzy i finansowaniem terroryzmu odnoszącego się do działalności notariusza stanowi wypadkową zgeneralizowanej oceny ryzyka prania pieniędzy i finansowania terroryzmu związanego z  przeprowadzanymi przez notariusza transakcjami okazjonalnymi, wymienionymi w art. 2 ust 1 pkt 13 Ustawy,</w:t>
      </w:r>
    </w:p>
    <w:p w14:paraId="71F47808" w14:textId="77777777" w:rsidR="00CD5C0E" w:rsidRPr="0039137B" w:rsidRDefault="00CD5C0E" w:rsidP="00CD5C0E">
      <w:pPr>
        <w:pStyle w:val="Default"/>
        <w:numPr>
          <w:ilvl w:val="0"/>
          <w:numId w:val="2"/>
        </w:numPr>
        <w:tabs>
          <w:tab w:val="left" w:pos="786"/>
        </w:tabs>
        <w:jc w:val="both"/>
        <w:rPr>
          <w:lang w:val="pl-PL"/>
        </w:rPr>
      </w:pPr>
      <w:r w:rsidRPr="0039137B">
        <w:rPr>
          <w:lang w:val="pl-PL"/>
        </w:rPr>
        <w:t xml:space="preserve"> niniejsza Ocena Ryzyka stanowi aktualizację Oceny Ryzyka przyjętej w dniu </w:t>
      </w:r>
      <w:r w:rsidRPr="0039137B">
        <w:rPr>
          <w:b/>
          <w:lang w:val="pl-PL"/>
        </w:rPr>
        <w:t>&lt;</w:t>
      </w:r>
      <w:proofErr w:type="spellStart"/>
      <w:r>
        <w:rPr>
          <w:b/>
          <w:lang w:val="pl-PL"/>
        </w:rPr>
        <w:t>O;ZestAnkieta.Data</w:t>
      </w:r>
      <w:proofErr w:type="spellEnd"/>
      <w:r w:rsidRPr="0039137B">
        <w:rPr>
          <w:b/>
          <w:lang w:val="pl-PL"/>
        </w:rPr>
        <w:t>&gt;</w:t>
      </w:r>
      <w:r w:rsidRPr="0039137B">
        <w:rPr>
          <w:lang w:val="pl-PL"/>
        </w:rPr>
        <w:t xml:space="preserve"> r. w związku z obowiązkiem przewidzianym w art. 27 ust. 3 Ustawy oraz § 7 Oceny Ryzyka.</w:t>
      </w:r>
    </w:p>
    <w:p w14:paraId="4AADCDBB" w14:textId="77777777" w:rsidR="00CD5C0E" w:rsidRPr="0039137B" w:rsidRDefault="00CD5C0E" w:rsidP="00CD5C0E">
      <w:pPr>
        <w:pStyle w:val="Default"/>
        <w:jc w:val="both"/>
        <w:rPr>
          <w:lang w:val="pl-PL"/>
        </w:rPr>
      </w:pPr>
    </w:p>
    <w:p w14:paraId="08BA5E79" w14:textId="77777777" w:rsidR="00CD5C0E" w:rsidRPr="0039137B" w:rsidRDefault="00CD5C0E" w:rsidP="00CD5C0E">
      <w:pPr>
        <w:pStyle w:val="Default"/>
        <w:jc w:val="center"/>
        <w:rPr>
          <w:lang w:val="pl-PL"/>
        </w:rPr>
      </w:pPr>
      <w:r w:rsidRPr="0039137B">
        <w:rPr>
          <w:b/>
          <w:lang w:val="pl-PL"/>
        </w:rPr>
        <w:t>§ 3</w:t>
      </w:r>
    </w:p>
    <w:p w14:paraId="70C6EBC5" w14:textId="77777777" w:rsidR="00CD5C0E" w:rsidRPr="0039137B" w:rsidRDefault="00CD5C0E" w:rsidP="00CD5C0E">
      <w:pPr>
        <w:pStyle w:val="Default"/>
        <w:jc w:val="center"/>
        <w:rPr>
          <w:lang w:val="pl-PL"/>
        </w:rPr>
      </w:pPr>
      <w:r w:rsidRPr="0039137B">
        <w:rPr>
          <w:b/>
          <w:lang w:val="pl-PL"/>
        </w:rPr>
        <w:lastRenderedPageBreak/>
        <w:t>Źródła informacji</w:t>
      </w:r>
    </w:p>
    <w:p w14:paraId="1A4FDE07" w14:textId="77777777" w:rsidR="00CD5C0E" w:rsidRPr="0039137B" w:rsidRDefault="00CD5C0E" w:rsidP="00CD5C0E">
      <w:pPr>
        <w:pStyle w:val="Default"/>
        <w:jc w:val="center"/>
        <w:rPr>
          <w:lang w:val="pl-PL"/>
        </w:rPr>
      </w:pPr>
    </w:p>
    <w:p w14:paraId="050576F5" w14:textId="77777777" w:rsidR="00CD5C0E" w:rsidRPr="0039137B" w:rsidRDefault="00CD5C0E" w:rsidP="00CD5C0E">
      <w:pPr>
        <w:pStyle w:val="Default"/>
        <w:jc w:val="both"/>
        <w:rPr>
          <w:lang w:val="pl-PL"/>
        </w:rPr>
      </w:pPr>
      <w:r w:rsidRPr="0039137B">
        <w:rPr>
          <w:lang w:val="pl-PL"/>
        </w:rPr>
        <w:t xml:space="preserve">Notariusz jako instytucja obowiązana w </w:t>
      </w:r>
      <w:r w:rsidRPr="0039137B">
        <w:rPr>
          <w:b/>
          <w:lang w:val="pl-PL"/>
        </w:rPr>
        <w:t>celu rozpoznania</w:t>
      </w:r>
      <w:r w:rsidRPr="0039137B">
        <w:rPr>
          <w:lang w:val="pl-PL"/>
        </w:rPr>
        <w:t xml:space="preserve"> ryzyka związanego z praniem pieniędzy i finansowaniem terroryzmu odnoszącego się do jego działalności  oraz ryzyka prania pieniędzy lub finansowania terroryzmu związanego z transakcją, uwzględnia w szczególności:</w:t>
      </w:r>
    </w:p>
    <w:p w14:paraId="3DB14243"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zawarte w ponadnarodowej ocenie ryzyka sporządzonej przez Komisję Europejską, </w:t>
      </w:r>
    </w:p>
    <w:p w14:paraId="5447D317"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zawarte w krajowej ocenie ryzyka sporządzonej przez Generalnego Inspektora Informacji Finansowej, </w:t>
      </w:r>
    </w:p>
    <w:p w14:paraId="6279EF85"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zamieszczone na stronie internetowej </w:t>
      </w:r>
      <w:hyperlink r:id="rId8" w:history="1">
        <w:r w:rsidRPr="0039137B">
          <w:rPr>
            <w:color w:val="00000A"/>
            <w:u w:val="single"/>
            <w:lang w:val="pl-PL"/>
          </w:rPr>
          <w:t>https://www.mf.gov.pl/ministerstwo-finansow/dzialalnosc/giif</w:t>
        </w:r>
      </w:hyperlink>
      <w:r w:rsidRPr="0039137B">
        <w:rPr>
          <w:lang w:val="pl-PL"/>
        </w:rPr>
        <w:t xml:space="preserve"> prowadzonej przez Generalnego Inspektora Informacji Finansowej,</w:t>
      </w:r>
    </w:p>
    <w:p w14:paraId="7AE6BD2B" w14:textId="77777777" w:rsidR="00CD5C0E" w:rsidRPr="0039137B" w:rsidRDefault="00CD5C0E" w:rsidP="00CD5C0E">
      <w:pPr>
        <w:pStyle w:val="Default"/>
        <w:numPr>
          <w:ilvl w:val="0"/>
          <w:numId w:val="3"/>
        </w:numPr>
        <w:tabs>
          <w:tab w:val="left" w:pos="644"/>
        </w:tabs>
        <w:jc w:val="both"/>
        <w:rPr>
          <w:lang w:val="pl-PL"/>
        </w:rPr>
      </w:pPr>
      <w:r w:rsidRPr="0039137B">
        <w:rPr>
          <w:lang w:val="pl-PL"/>
        </w:rPr>
        <w:t>własną wiedzę i doświadczenie zawodowe,</w:t>
      </w:r>
    </w:p>
    <w:p w14:paraId="00F4247E"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uzyskane od klientów, ich pełnomocników lub przedstawicieli ustawowych, </w:t>
      </w:r>
    </w:p>
    <w:p w14:paraId="3128B1A4"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ujawnione w publicznych rejestrach, </w:t>
      </w:r>
    </w:p>
    <w:p w14:paraId="0133BF71"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zawarte w dokumentach urzędowych przedłożonych mu do sporządzenia aktu notarialnego, </w:t>
      </w:r>
    </w:p>
    <w:p w14:paraId="39440F61" w14:textId="77777777" w:rsidR="00CD5C0E" w:rsidRPr="0039137B" w:rsidRDefault="00CD5C0E" w:rsidP="00CD5C0E">
      <w:pPr>
        <w:pStyle w:val="Default"/>
        <w:numPr>
          <w:ilvl w:val="0"/>
          <w:numId w:val="3"/>
        </w:numPr>
        <w:tabs>
          <w:tab w:val="left" w:pos="644"/>
        </w:tabs>
        <w:jc w:val="both"/>
        <w:rPr>
          <w:lang w:val="pl-PL"/>
        </w:rPr>
      </w:pPr>
      <w:r w:rsidRPr="0039137B">
        <w:rPr>
          <w:lang w:val="pl-PL"/>
        </w:rPr>
        <w:t xml:space="preserve">informacje uzyskane od organów samorządu notarialnego. </w:t>
      </w:r>
    </w:p>
    <w:p w14:paraId="030EDCB7" w14:textId="77777777" w:rsidR="00CD5C0E" w:rsidRPr="0039137B" w:rsidRDefault="00CD5C0E" w:rsidP="00CD5C0E">
      <w:pPr>
        <w:pStyle w:val="Default"/>
        <w:jc w:val="both"/>
        <w:rPr>
          <w:lang w:val="pl-PL"/>
        </w:rPr>
      </w:pPr>
    </w:p>
    <w:p w14:paraId="6C35FEFE" w14:textId="77777777" w:rsidR="00CD5C0E" w:rsidRPr="0039137B" w:rsidRDefault="00CD5C0E" w:rsidP="00CD5C0E">
      <w:pPr>
        <w:pStyle w:val="Default"/>
        <w:jc w:val="center"/>
        <w:rPr>
          <w:lang w:val="pl-PL"/>
        </w:rPr>
      </w:pPr>
      <w:r w:rsidRPr="0039137B">
        <w:rPr>
          <w:b/>
          <w:lang w:val="pl-PL"/>
        </w:rPr>
        <w:t>§ 4</w:t>
      </w:r>
    </w:p>
    <w:p w14:paraId="6E843E0D" w14:textId="77777777" w:rsidR="00CD5C0E" w:rsidRPr="0039137B" w:rsidRDefault="00CD5C0E" w:rsidP="00CD5C0E">
      <w:pPr>
        <w:pStyle w:val="Default"/>
        <w:jc w:val="center"/>
        <w:rPr>
          <w:lang w:val="pl-PL"/>
        </w:rPr>
      </w:pPr>
      <w:r w:rsidRPr="0039137B">
        <w:rPr>
          <w:b/>
          <w:lang w:val="pl-PL"/>
        </w:rPr>
        <w:t>Czynniki ryzyka</w:t>
      </w:r>
      <w:r w:rsidRPr="0039137B">
        <w:rPr>
          <w:lang w:val="pl-PL"/>
        </w:rPr>
        <w:t xml:space="preserve"> </w:t>
      </w:r>
      <w:r w:rsidRPr="0039137B">
        <w:rPr>
          <w:b/>
          <w:lang w:val="pl-PL"/>
        </w:rPr>
        <w:t>prania pieniędzy lub finansowania terroryzmu dotyczące transakcji okazjonalnej, stosownie do art. 33 Ustawy</w:t>
      </w:r>
    </w:p>
    <w:p w14:paraId="624D5927" w14:textId="77777777" w:rsidR="00CD5C0E" w:rsidRPr="0039137B" w:rsidRDefault="00CD5C0E" w:rsidP="00CD5C0E">
      <w:pPr>
        <w:pStyle w:val="Default"/>
        <w:jc w:val="both"/>
        <w:rPr>
          <w:lang w:val="pl-PL"/>
        </w:rPr>
      </w:pPr>
    </w:p>
    <w:p w14:paraId="4C6224AE" w14:textId="77777777" w:rsidR="00CD5C0E" w:rsidRPr="0039137B" w:rsidRDefault="00CD5C0E" w:rsidP="00CD5C0E">
      <w:pPr>
        <w:pStyle w:val="Default"/>
        <w:jc w:val="both"/>
        <w:rPr>
          <w:lang w:val="pl-PL"/>
        </w:rPr>
      </w:pPr>
      <w:r w:rsidRPr="0039137B">
        <w:rPr>
          <w:lang w:val="pl-PL"/>
        </w:rPr>
        <w:t>Przy rozpoznawaniu ryzyka prania pieniędzy lub finansowania terroryzmu oraz ocenie poziomu tego ryzyka notariusz bierze pod uwagę czynniki dotyczące:</w:t>
      </w:r>
    </w:p>
    <w:p w14:paraId="6C25F62F" w14:textId="77777777" w:rsidR="00CD5C0E" w:rsidRPr="0039137B" w:rsidRDefault="00CD5C0E" w:rsidP="00CD5C0E">
      <w:pPr>
        <w:pStyle w:val="Default"/>
        <w:numPr>
          <w:ilvl w:val="0"/>
          <w:numId w:val="4"/>
        </w:numPr>
        <w:tabs>
          <w:tab w:val="left" w:pos="720"/>
        </w:tabs>
        <w:jc w:val="both"/>
        <w:rPr>
          <w:lang w:val="pl-PL"/>
        </w:rPr>
      </w:pPr>
      <w:r w:rsidRPr="0039137B">
        <w:rPr>
          <w:lang w:val="pl-PL"/>
        </w:rPr>
        <w:t xml:space="preserve">rodzaju klienta </w:t>
      </w:r>
    </w:p>
    <w:p w14:paraId="07625427" w14:textId="77777777" w:rsidR="00CD5C0E" w:rsidRPr="0039137B" w:rsidRDefault="00CD5C0E" w:rsidP="00CD5C0E">
      <w:pPr>
        <w:pStyle w:val="Default"/>
        <w:numPr>
          <w:ilvl w:val="0"/>
          <w:numId w:val="4"/>
        </w:numPr>
        <w:tabs>
          <w:tab w:val="left" w:pos="720"/>
        </w:tabs>
        <w:jc w:val="both"/>
        <w:rPr>
          <w:lang w:val="pl-PL"/>
        </w:rPr>
      </w:pPr>
      <w:r w:rsidRPr="0039137B">
        <w:rPr>
          <w:lang w:val="pl-PL"/>
        </w:rPr>
        <w:t xml:space="preserve">beneficjenta rzeczywistego, </w:t>
      </w:r>
    </w:p>
    <w:p w14:paraId="6242FF02" w14:textId="77777777" w:rsidR="00CD5C0E" w:rsidRPr="0039137B" w:rsidRDefault="00CD5C0E" w:rsidP="00CD5C0E">
      <w:pPr>
        <w:pStyle w:val="Default"/>
        <w:numPr>
          <w:ilvl w:val="0"/>
          <w:numId w:val="4"/>
        </w:numPr>
        <w:tabs>
          <w:tab w:val="left" w:pos="720"/>
        </w:tabs>
        <w:jc w:val="both"/>
        <w:rPr>
          <w:lang w:val="pl-PL"/>
        </w:rPr>
      </w:pPr>
      <w:r w:rsidRPr="0039137B">
        <w:rPr>
          <w:lang w:val="pl-PL"/>
        </w:rPr>
        <w:t xml:space="preserve">krajów i obszarów geograficznych, </w:t>
      </w:r>
    </w:p>
    <w:p w14:paraId="3F3DDB53" w14:textId="77777777" w:rsidR="00CD5C0E" w:rsidRPr="0039137B" w:rsidRDefault="00CD5C0E" w:rsidP="00CD5C0E">
      <w:pPr>
        <w:pStyle w:val="Default"/>
        <w:numPr>
          <w:ilvl w:val="0"/>
          <w:numId w:val="4"/>
        </w:numPr>
        <w:tabs>
          <w:tab w:val="left" w:pos="720"/>
        </w:tabs>
        <w:jc w:val="both"/>
        <w:rPr>
          <w:lang w:val="pl-PL"/>
        </w:rPr>
      </w:pPr>
      <w:r w:rsidRPr="0039137B">
        <w:rPr>
          <w:lang w:val="pl-PL"/>
        </w:rPr>
        <w:t>rodzaju i przedmiotu czynności objętej aktem notarialnym.</w:t>
      </w:r>
    </w:p>
    <w:p w14:paraId="4313D2B3" w14:textId="77777777" w:rsidR="00CD5C0E" w:rsidRPr="0039137B" w:rsidRDefault="00CD5C0E" w:rsidP="00CD5C0E">
      <w:pPr>
        <w:pStyle w:val="Default"/>
        <w:numPr>
          <w:ilvl w:val="0"/>
          <w:numId w:val="4"/>
        </w:numPr>
        <w:tabs>
          <w:tab w:val="left" w:pos="720"/>
        </w:tabs>
        <w:jc w:val="both"/>
        <w:rPr>
          <w:lang w:val="pl-PL"/>
        </w:rPr>
      </w:pPr>
      <w:r w:rsidRPr="0039137B">
        <w:rPr>
          <w:lang w:val="pl-PL"/>
        </w:rPr>
        <w:t xml:space="preserve">poziomu wartości majątkowych deponowanych przez klienta lub wartości przeprowadzonych transakcji, </w:t>
      </w:r>
    </w:p>
    <w:p w14:paraId="6A86E4CE" w14:textId="77777777" w:rsidR="00CD5C0E" w:rsidRPr="0039137B" w:rsidRDefault="00CD5C0E" w:rsidP="00CD5C0E">
      <w:pPr>
        <w:pStyle w:val="Default"/>
        <w:numPr>
          <w:ilvl w:val="0"/>
          <w:numId w:val="4"/>
        </w:numPr>
        <w:tabs>
          <w:tab w:val="left" w:pos="720"/>
        </w:tabs>
        <w:jc w:val="both"/>
        <w:rPr>
          <w:lang w:val="pl-PL"/>
        </w:rPr>
      </w:pPr>
      <w:r w:rsidRPr="0039137B">
        <w:rPr>
          <w:lang w:val="pl-PL"/>
        </w:rPr>
        <w:t xml:space="preserve">celu transakcji. </w:t>
      </w:r>
    </w:p>
    <w:p w14:paraId="5404B37D" w14:textId="77777777" w:rsidR="00CD5C0E" w:rsidRPr="0039137B" w:rsidRDefault="00CD5C0E" w:rsidP="00CD5C0E">
      <w:pPr>
        <w:pStyle w:val="Default"/>
        <w:jc w:val="both"/>
        <w:rPr>
          <w:lang w:val="pl-PL"/>
        </w:rPr>
      </w:pPr>
    </w:p>
    <w:p w14:paraId="53669787" w14:textId="77777777" w:rsidR="00CD5C0E" w:rsidRPr="0039137B" w:rsidRDefault="00CD5C0E" w:rsidP="00CD5C0E">
      <w:pPr>
        <w:pStyle w:val="Default"/>
        <w:jc w:val="center"/>
        <w:rPr>
          <w:lang w:val="pl-PL"/>
        </w:rPr>
      </w:pPr>
      <w:r w:rsidRPr="0039137B">
        <w:rPr>
          <w:b/>
          <w:lang w:val="pl-PL"/>
        </w:rPr>
        <w:t>§ 5</w:t>
      </w:r>
    </w:p>
    <w:p w14:paraId="21CFFD12" w14:textId="77777777" w:rsidR="00CD5C0E" w:rsidRPr="0039137B" w:rsidRDefault="00CD5C0E" w:rsidP="00CD5C0E">
      <w:pPr>
        <w:pStyle w:val="Default"/>
        <w:jc w:val="center"/>
        <w:rPr>
          <w:lang w:val="pl-PL"/>
        </w:rPr>
      </w:pPr>
      <w:r w:rsidRPr="0039137B">
        <w:rPr>
          <w:b/>
          <w:lang w:val="pl-PL"/>
        </w:rPr>
        <w:t>Dokonywanie oceny rozpoznanego ryzyka, stosownie do art. 33 Ustawy</w:t>
      </w:r>
    </w:p>
    <w:p w14:paraId="432C6C03" w14:textId="77777777" w:rsidR="00CD5C0E" w:rsidRPr="0039137B" w:rsidRDefault="00CD5C0E" w:rsidP="00CD5C0E">
      <w:pPr>
        <w:pStyle w:val="Default"/>
        <w:jc w:val="center"/>
        <w:rPr>
          <w:lang w:val="pl-PL"/>
        </w:rPr>
      </w:pPr>
    </w:p>
    <w:p w14:paraId="1A388C14" w14:textId="77777777" w:rsidR="00CD5C0E" w:rsidRPr="0039137B" w:rsidRDefault="00CD5C0E" w:rsidP="00CD5C0E">
      <w:pPr>
        <w:pStyle w:val="Default"/>
        <w:jc w:val="both"/>
        <w:rPr>
          <w:lang w:val="pl-PL"/>
        </w:rPr>
      </w:pPr>
      <w:r w:rsidRPr="0039137B">
        <w:rPr>
          <w:lang w:val="pl-PL"/>
        </w:rPr>
        <w:t>1. Przy dokonywaniu oceny rozpoznanego ryzyka notariusz bierze pod uwagę wszelkie informacje dotyczące przeprowadzanej transakcji uzyskane w toku czynności służących przygotowania aktu notarialnego, w trakcie jego odczytywania, przeprowadzania wywiadu służącego przygotowaniu aktu oraz informacje uzyskane przez notariusza i pracowników kancelarii z innych źródeł (wiedza własna, analiza rejestrów i publikatorów oraz adekwatnych stron internetowych).</w:t>
      </w:r>
    </w:p>
    <w:p w14:paraId="06629EB4" w14:textId="77777777" w:rsidR="00CD5C0E" w:rsidRPr="0039137B" w:rsidRDefault="00CD5C0E" w:rsidP="00CD5C0E">
      <w:pPr>
        <w:pStyle w:val="Default"/>
        <w:jc w:val="both"/>
        <w:rPr>
          <w:lang w:val="pl-PL"/>
        </w:rPr>
      </w:pPr>
    </w:p>
    <w:p w14:paraId="106F2527" w14:textId="77777777" w:rsidR="00CD5C0E" w:rsidRPr="0039137B" w:rsidRDefault="00CD5C0E" w:rsidP="00CD5C0E">
      <w:pPr>
        <w:pStyle w:val="Default"/>
        <w:jc w:val="both"/>
        <w:rPr>
          <w:lang w:val="pl-PL"/>
        </w:rPr>
      </w:pPr>
      <w:r w:rsidRPr="0039137B">
        <w:rPr>
          <w:lang w:val="pl-PL"/>
        </w:rPr>
        <w:t xml:space="preserve">2. Następnie notariusz identyfikuje występujące w przeprowadzanej przed nim transakcji czynniki ryzyka prania pieniędzy lub finansowania terroryzmu tj., czynniki osobowe, związane z klientem i beneficjentem rzeczywistym, czynniki geograficzne, związane z krajem i obszarem geograficznym oraz czynniki merytoryczne, związane z rodzajem, przedmiotem czynności objętej aktem notarialnym oraz wartością tego przedmiotu, a następnie ocenia to ryzyko przypisując każdemu ze wskazanych czynników adekwatne wartości, tj. -1 (minus jeden) - gdy czynnik świadczy o niższym ryzyku albo +1 (plus jeden) - gdy czynnik świadczy o wyższym ryzyku. Przy czym przypisanie </w:t>
      </w:r>
      <w:r w:rsidRPr="0039137B">
        <w:rPr>
          <w:lang w:val="pl-PL"/>
        </w:rPr>
        <w:lastRenderedPageBreak/>
        <w:t>wartości 0 następuje w kolejnym etapie, w wyniku zbilansowania czynników podwyższających i obniżających ryzyko.</w:t>
      </w:r>
    </w:p>
    <w:p w14:paraId="12F100C5" w14:textId="77777777" w:rsidR="00CD5C0E" w:rsidRPr="0039137B" w:rsidRDefault="00CD5C0E" w:rsidP="00CD5C0E">
      <w:pPr>
        <w:pStyle w:val="Default"/>
        <w:jc w:val="both"/>
        <w:rPr>
          <w:lang w:val="pl-PL"/>
        </w:rPr>
      </w:pPr>
    </w:p>
    <w:p w14:paraId="42B73080" w14:textId="77777777" w:rsidR="00CD5C0E" w:rsidRPr="0039137B" w:rsidRDefault="00CD5C0E" w:rsidP="00CD5C0E">
      <w:pPr>
        <w:pStyle w:val="Default"/>
        <w:jc w:val="center"/>
        <w:rPr>
          <w:lang w:val="pl-PL"/>
        </w:rPr>
      </w:pPr>
      <w:r w:rsidRPr="0039137B">
        <w:rPr>
          <w:b/>
          <w:lang w:val="pl-PL"/>
        </w:rPr>
        <w:t>§ 6</w:t>
      </w:r>
    </w:p>
    <w:p w14:paraId="08CC7B6A" w14:textId="77777777" w:rsidR="00CD5C0E" w:rsidRPr="0039137B" w:rsidRDefault="00CD5C0E" w:rsidP="00CD5C0E">
      <w:pPr>
        <w:pStyle w:val="Default"/>
        <w:jc w:val="center"/>
        <w:rPr>
          <w:lang w:val="pl-PL"/>
        </w:rPr>
      </w:pPr>
      <w:r w:rsidRPr="0039137B">
        <w:rPr>
          <w:b/>
          <w:u w:val="single"/>
          <w:lang w:val="pl-PL"/>
        </w:rPr>
        <w:t>Poziom ryzyka obniżają (wartość -1 za każdy z czynników):</w:t>
      </w:r>
    </w:p>
    <w:p w14:paraId="27A74DFA" w14:textId="77777777" w:rsidR="00CD5C0E" w:rsidRPr="0039137B" w:rsidRDefault="00CD5C0E" w:rsidP="00CD5C0E">
      <w:pPr>
        <w:pStyle w:val="Default"/>
        <w:jc w:val="center"/>
        <w:rPr>
          <w:lang w:val="pl-PL"/>
        </w:rPr>
      </w:pPr>
    </w:p>
    <w:p w14:paraId="586739B3" w14:textId="77777777" w:rsidR="00CD5C0E" w:rsidRPr="0039137B" w:rsidRDefault="00CD5C0E" w:rsidP="00CD5C0E">
      <w:pPr>
        <w:pStyle w:val="Default"/>
        <w:ind w:firstLine="708"/>
        <w:jc w:val="both"/>
        <w:rPr>
          <w:lang w:val="pl-PL"/>
        </w:rPr>
      </w:pPr>
      <w:r w:rsidRPr="0039137B">
        <w:rPr>
          <w:lang w:val="pl-PL"/>
        </w:rPr>
        <w:t>a. fakt, że klient jest spółką, w której wydano akcje na okaziciela, której papiery wartościowe są dopuszczone do obrotu zorganizowanego,</w:t>
      </w:r>
    </w:p>
    <w:p w14:paraId="0B1D659E" w14:textId="77777777" w:rsidR="00CD5C0E" w:rsidRPr="0039137B" w:rsidRDefault="00CD5C0E" w:rsidP="00CD5C0E">
      <w:pPr>
        <w:pStyle w:val="Default"/>
        <w:ind w:firstLine="708"/>
        <w:jc w:val="both"/>
        <w:rPr>
          <w:lang w:val="pl-PL"/>
        </w:rPr>
      </w:pPr>
      <w:r w:rsidRPr="0039137B">
        <w:rPr>
          <w:lang w:val="pl-PL"/>
        </w:rPr>
        <w:t>b. fakt, że klient jest jednostką sektora finansów publicznych, przedsiębiorstwem państwowym lub spółką z większościowym udziałem Skarbu Państwa,</w:t>
      </w:r>
    </w:p>
    <w:p w14:paraId="01D00CDC" w14:textId="77777777" w:rsidR="00CD5C0E" w:rsidRPr="0039137B" w:rsidRDefault="00CD5C0E" w:rsidP="00CD5C0E">
      <w:pPr>
        <w:pStyle w:val="Default"/>
        <w:ind w:firstLine="708"/>
        <w:jc w:val="both"/>
        <w:rPr>
          <w:lang w:val="pl-PL"/>
        </w:rPr>
      </w:pPr>
      <w:r w:rsidRPr="0039137B">
        <w:rPr>
          <w:lang w:val="pl-PL"/>
        </w:rPr>
        <w:t>c. fakt, że klient jest spółką, której papiery wartościowe są dopuszczone do obrotu na rynku regulowanym podlegającym wymogom ujawniania informacji o jej beneficjencie rzeczywistym wynikającym z prawa Unii Europejskiej lub odpowiadającym im przepisom prawa państwa trzeciego, albo spółką z większościowym udziałem tej spółki.</w:t>
      </w:r>
    </w:p>
    <w:p w14:paraId="2589F8B7" w14:textId="77777777" w:rsidR="00CD5C0E" w:rsidRPr="0039137B" w:rsidRDefault="00CD5C0E" w:rsidP="00CD5C0E">
      <w:pPr>
        <w:pStyle w:val="Default"/>
        <w:ind w:firstLine="708"/>
        <w:jc w:val="both"/>
        <w:rPr>
          <w:lang w:val="pl-PL"/>
        </w:rPr>
      </w:pPr>
      <w:r w:rsidRPr="0039137B">
        <w:rPr>
          <w:lang w:val="pl-PL"/>
        </w:rPr>
        <w:t>d. fakt, że państwem zamieszkania lub siedziby klienta, państwem, którego obywatelstwo klient posiada lub państwem, którego obywatelstwo posiada beneficjent rzeczywisty jest:</w:t>
      </w:r>
    </w:p>
    <w:p w14:paraId="39173F14" w14:textId="77777777" w:rsidR="00CD5C0E" w:rsidRPr="0039137B" w:rsidRDefault="00CD5C0E" w:rsidP="00CD5C0E">
      <w:pPr>
        <w:pStyle w:val="Akapitzlist"/>
        <w:numPr>
          <w:ilvl w:val="1"/>
          <w:numId w:val="5"/>
        </w:numPr>
        <w:tabs>
          <w:tab w:val="left" w:pos="2214"/>
        </w:tabs>
        <w:ind w:left="2214"/>
        <w:jc w:val="both"/>
        <w:rPr>
          <w:lang w:val="pl-PL"/>
        </w:rPr>
      </w:pPr>
      <w:r w:rsidRPr="0039137B">
        <w:rPr>
          <w:lang w:val="pl-PL"/>
        </w:rPr>
        <w:t xml:space="preserve">państwo członkowskie Unii Europejskiej, państwo członkowskie Europejskiego Porozumienia o Wolnym Handlu (EFTA) - strony umowy o Europejskim Obszarze </w:t>
      </w:r>
      <w:proofErr w:type="spellStart"/>
      <w:r w:rsidRPr="0039137B">
        <w:rPr>
          <w:lang w:val="pl-PL"/>
        </w:rPr>
        <w:t>Gospodarczym,państwo</w:t>
      </w:r>
      <w:proofErr w:type="spellEnd"/>
      <w:r w:rsidRPr="0039137B">
        <w:rPr>
          <w:lang w:val="pl-PL"/>
        </w:rPr>
        <w:t xml:space="preserve"> trzecie wskazane na stronie internetowej </w:t>
      </w:r>
      <w:hyperlink r:id="rId9" w:history="1">
        <w:r w:rsidRPr="0039137B">
          <w:rPr>
            <w:color w:val="00000A"/>
            <w:u w:val="single"/>
            <w:lang w:val="pl-PL"/>
          </w:rPr>
          <w:t>https://www.mf.gov.pl/ministerstwo-finansow/dzialalnosc/giif</w:t>
        </w:r>
      </w:hyperlink>
      <w:r w:rsidRPr="0039137B">
        <w:rPr>
          <w:lang w:val="pl-PL"/>
        </w:rPr>
        <w:t xml:space="preserve"> prowadzonej przez Generalnego Inspektora Informacji Finansowej, jako państwo o niskim poziomie korupcji lub innej działalności </w:t>
      </w:r>
      <w:proofErr w:type="spellStart"/>
      <w:r w:rsidRPr="0039137B">
        <w:rPr>
          <w:lang w:val="pl-PL"/>
        </w:rPr>
        <w:t>przestępczej,państwo</w:t>
      </w:r>
      <w:proofErr w:type="spellEnd"/>
      <w:r w:rsidRPr="0039137B">
        <w:rPr>
          <w:lang w:val="pl-PL"/>
        </w:rPr>
        <w:t xml:space="preserve"> trzecie wskazane na stronie internetowej </w:t>
      </w:r>
      <w:hyperlink r:id="rId10" w:history="1">
        <w:r w:rsidRPr="0039137B">
          <w:rPr>
            <w:color w:val="00000A"/>
            <w:u w:val="single"/>
            <w:lang w:val="pl-PL"/>
          </w:rPr>
          <w:t>https://www.mf.gov.pl/ministerstwo-finansow/dzialalnosc/giif</w:t>
        </w:r>
      </w:hyperlink>
      <w:r w:rsidRPr="0039137B">
        <w:rPr>
          <w:lang w:val="pl-PL"/>
        </w:rPr>
        <w:t xml:space="preserve"> prowadzonej przez Generalnego Inspektora Informacji Finansowej, jako państwo w którym obowiązują przepisy dotyczące przeciwdziałania praniu pieniędzy oraz finansowaniu terroryzmu odpowiadające wymogom wynikającym z przepisów Unii Europejskiej z zakresu przeciwdziałania praniu pieniędzy oraz finansowaniu terroryzmu.</w:t>
      </w:r>
    </w:p>
    <w:p w14:paraId="4BDBAE64" w14:textId="77777777" w:rsidR="00CD5C0E" w:rsidRPr="0039137B" w:rsidRDefault="00CD5C0E" w:rsidP="00CD5C0E">
      <w:pPr>
        <w:pStyle w:val="Default"/>
        <w:spacing w:before="26"/>
        <w:ind w:firstLine="708"/>
        <w:jc w:val="both"/>
        <w:rPr>
          <w:lang w:val="pl-PL"/>
        </w:rPr>
      </w:pPr>
      <w:r w:rsidRPr="0039137B">
        <w:rPr>
          <w:lang w:val="pl-PL"/>
        </w:rPr>
        <w:t>e. zapłata zobowiązania pieniężnego wynikającego z czynności objętej aktem notarialnym w znacznej części finansowana jest pieniędzmi uzyskanymi z kredytu bankowego lub pożyczki bankowej,</w:t>
      </w:r>
    </w:p>
    <w:p w14:paraId="45BE2126" w14:textId="77777777" w:rsidR="00CD5C0E" w:rsidRPr="0039137B" w:rsidRDefault="00CD5C0E" w:rsidP="00CD5C0E">
      <w:pPr>
        <w:pStyle w:val="Default"/>
        <w:spacing w:before="26"/>
        <w:ind w:firstLine="708"/>
        <w:jc w:val="both"/>
        <w:rPr>
          <w:lang w:val="pl-PL"/>
        </w:rPr>
      </w:pPr>
      <w:r w:rsidRPr="0039137B">
        <w:rPr>
          <w:lang w:val="pl-PL"/>
        </w:rPr>
        <w:t>f. zapłata zobowiązania pieniężnego wynikającego z czynności objętej aktem notarialnym następuje w całości w drodze przelewu bankowego,</w:t>
      </w:r>
    </w:p>
    <w:p w14:paraId="2A0A7B15" w14:textId="77777777" w:rsidR="00CD5C0E" w:rsidRPr="0039137B" w:rsidRDefault="00CD5C0E" w:rsidP="00CD5C0E">
      <w:pPr>
        <w:pStyle w:val="Default"/>
        <w:spacing w:before="26"/>
        <w:ind w:firstLine="708"/>
        <w:jc w:val="both"/>
        <w:rPr>
          <w:lang w:val="pl-PL"/>
        </w:rPr>
      </w:pPr>
      <w:r w:rsidRPr="0039137B">
        <w:rPr>
          <w:lang w:val="pl-PL"/>
        </w:rPr>
        <w:t xml:space="preserve">g. czynność objęta aktem notarialnym zawierana jest z powodu wystąpienia zdarzenia prawnego, które uprzednio wywołało skutki prawne dla stron tej transakcji, tj. umowy mające na celu uregulowanie wzajemnej sytuacji prawnej stron: umowa działu spadku, zniesienia współwłasności, umowa darowizny udziału, przesunięcie majątkowe między małżonkami. </w:t>
      </w:r>
    </w:p>
    <w:p w14:paraId="6F20AB05" w14:textId="77777777" w:rsidR="00CD5C0E" w:rsidRPr="0039137B" w:rsidRDefault="00CD5C0E" w:rsidP="00CD5C0E">
      <w:pPr>
        <w:pStyle w:val="Default"/>
        <w:jc w:val="both"/>
        <w:rPr>
          <w:lang w:val="pl-PL"/>
        </w:rPr>
      </w:pPr>
    </w:p>
    <w:p w14:paraId="534DC937" w14:textId="77777777" w:rsidR="00CD5C0E" w:rsidRPr="0039137B" w:rsidRDefault="00CD5C0E" w:rsidP="00CD5C0E">
      <w:pPr>
        <w:pStyle w:val="Default"/>
        <w:jc w:val="center"/>
        <w:rPr>
          <w:lang w:val="pl-PL"/>
        </w:rPr>
      </w:pPr>
      <w:r w:rsidRPr="0039137B">
        <w:rPr>
          <w:b/>
          <w:lang w:val="pl-PL"/>
        </w:rPr>
        <w:t>§ 7</w:t>
      </w:r>
    </w:p>
    <w:p w14:paraId="6A2D1A1F" w14:textId="77777777" w:rsidR="00CD5C0E" w:rsidRPr="0039137B" w:rsidRDefault="00CD5C0E" w:rsidP="00CD5C0E">
      <w:pPr>
        <w:pStyle w:val="Default"/>
        <w:jc w:val="center"/>
        <w:rPr>
          <w:lang w:val="pl-PL"/>
        </w:rPr>
      </w:pPr>
      <w:r w:rsidRPr="0039137B">
        <w:rPr>
          <w:b/>
          <w:u w:val="single"/>
          <w:lang w:val="pl-PL"/>
        </w:rPr>
        <w:t>Poziom ryzyka podwyższają (wartość +1 za każdy z czynników):</w:t>
      </w:r>
    </w:p>
    <w:p w14:paraId="5F4FFA9D" w14:textId="77777777" w:rsidR="00CD5C0E" w:rsidRPr="0039137B" w:rsidRDefault="00CD5C0E" w:rsidP="00CD5C0E">
      <w:pPr>
        <w:pStyle w:val="Default"/>
        <w:jc w:val="center"/>
        <w:rPr>
          <w:lang w:val="pl-PL"/>
        </w:rPr>
      </w:pPr>
    </w:p>
    <w:p w14:paraId="1A4E53B2" w14:textId="77777777" w:rsidR="00CD5C0E" w:rsidRPr="0039137B" w:rsidRDefault="00CD5C0E" w:rsidP="00CD5C0E">
      <w:pPr>
        <w:pStyle w:val="Default"/>
        <w:ind w:firstLine="708"/>
        <w:jc w:val="both"/>
        <w:rPr>
          <w:lang w:val="pl-PL"/>
        </w:rPr>
      </w:pPr>
      <w:r w:rsidRPr="0039137B">
        <w:rPr>
          <w:lang w:val="pl-PL"/>
        </w:rPr>
        <w:t>a. prowadzenie przez klienta działalności non-profit (obrót profesjonalny),</w:t>
      </w:r>
    </w:p>
    <w:p w14:paraId="49ED9467" w14:textId="77777777" w:rsidR="00CD5C0E" w:rsidRPr="0039137B" w:rsidRDefault="00CD5C0E" w:rsidP="00CD5C0E">
      <w:pPr>
        <w:pStyle w:val="Default"/>
        <w:ind w:firstLine="708"/>
        <w:jc w:val="both"/>
        <w:rPr>
          <w:lang w:val="pl-PL"/>
        </w:rPr>
      </w:pPr>
      <w:r w:rsidRPr="0039137B">
        <w:rPr>
          <w:lang w:val="pl-PL"/>
        </w:rPr>
        <w:t>b. nie mieszczenie się dokonywanej transakcji w profilu działalności zawodowej lub gospodarczej klienta,</w:t>
      </w:r>
    </w:p>
    <w:p w14:paraId="3A630ADC" w14:textId="77777777" w:rsidR="00CD5C0E" w:rsidRPr="0039137B" w:rsidRDefault="00CD5C0E" w:rsidP="00CD5C0E">
      <w:pPr>
        <w:pStyle w:val="Default"/>
        <w:ind w:firstLine="708"/>
        <w:jc w:val="both"/>
        <w:rPr>
          <w:lang w:val="pl-PL"/>
        </w:rPr>
      </w:pPr>
      <w:r w:rsidRPr="0039137B">
        <w:rPr>
          <w:lang w:val="pl-PL"/>
        </w:rPr>
        <w:t>c. wątpliwości co do tożsamości klienta,</w:t>
      </w:r>
    </w:p>
    <w:p w14:paraId="04A472CA" w14:textId="77777777" w:rsidR="00CD5C0E" w:rsidRPr="0039137B" w:rsidRDefault="00CD5C0E" w:rsidP="00CD5C0E">
      <w:pPr>
        <w:pStyle w:val="Default"/>
        <w:ind w:firstLine="708"/>
        <w:jc w:val="both"/>
        <w:rPr>
          <w:lang w:val="pl-PL"/>
        </w:rPr>
      </w:pPr>
      <w:r w:rsidRPr="0039137B">
        <w:rPr>
          <w:lang w:val="pl-PL"/>
        </w:rPr>
        <w:t xml:space="preserve">d. klient jest osobą zajmującą eksponowane stanowisko polityczne lub osobą bliską takiej </w:t>
      </w:r>
      <w:r w:rsidRPr="0039137B">
        <w:rPr>
          <w:lang w:val="pl-PL"/>
        </w:rPr>
        <w:lastRenderedPageBreak/>
        <w:t>osoby lub jej bliskim współpracownikiem,</w:t>
      </w:r>
    </w:p>
    <w:p w14:paraId="33D47332" w14:textId="77777777" w:rsidR="00CD5C0E" w:rsidRPr="0039137B" w:rsidRDefault="00CD5C0E" w:rsidP="00CD5C0E">
      <w:pPr>
        <w:pStyle w:val="Default"/>
        <w:ind w:firstLine="708"/>
        <w:jc w:val="both"/>
        <w:rPr>
          <w:lang w:val="pl-PL"/>
        </w:rPr>
      </w:pPr>
      <w:r w:rsidRPr="0039137B">
        <w:rPr>
          <w:lang w:val="pl-PL"/>
        </w:rPr>
        <w:t>e. wnoszenie do spółek nieruchomości po wyraźnie, według oceny notariusza, zawyżonej wartości połączone ze sprzedażą udziałów, albo podejrzenie zaniżenia ceny nieruchomości, w tym również związane z podejrzeniem, że płatności dokonywane są w innej wysokości niż wykazana w akcie notarialnym, lub ze środków pochodzących ze źródeł nielegalnych lub przez powiązane ze sobą podmioty, a transakcja ma na celu wykorzystywanie różnic cenowych.</w:t>
      </w:r>
    </w:p>
    <w:p w14:paraId="78540766" w14:textId="77777777" w:rsidR="00CD5C0E" w:rsidRPr="0039137B" w:rsidRDefault="00CD5C0E" w:rsidP="00CD5C0E">
      <w:pPr>
        <w:pStyle w:val="Default"/>
        <w:ind w:firstLine="708"/>
        <w:jc w:val="both"/>
        <w:rPr>
          <w:lang w:val="pl-PL"/>
        </w:rPr>
      </w:pPr>
      <w:r w:rsidRPr="0039137B">
        <w:rPr>
          <w:lang w:val="pl-PL"/>
        </w:rPr>
        <w:t>f. brak przejrzystej struktury majątkowej klienta będącego osoba prawną,</w:t>
      </w:r>
    </w:p>
    <w:p w14:paraId="4AACC3C6" w14:textId="77777777" w:rsidR="00CD5C0E" w:rsidRPr="0039137B" w:rsidRDefault="00CD5C0E" w:rsidP="00CD5C0E">
      <w:pPr>
        <w:pStyle w:val="Default"/>
        <w:ind w:firstLine="708"/>
        <w:jc w:val="both"/>
        <w:rPr>
          <w:lang w:val="pl-PL"/>
        </w:rPr>
      </w:pPr>
      <w:r w:rsidRPr="0039137B">
        <w:rPr>
          <w:lang w:val="pl-PL"/>
        </w:rPr>
        <w:t>g. fakt, że klient jest spółką, w której wydano akcje na okaziciela, której papiery wartościowe nie są dopuszczone do obrotu zorganizowanego,</w:t>
      </w:r>
    </w:p>
    <w:p w14:paraId="60DF562C" w14:textId="77777777" w:rsidR="00CD5C0E" w:rsidRPr="0039137B" w:rsidRDefault="00CD5C0E" w:rsidP="00CD5C0E">
      <w:pPr>
        <w:pStyle w:val="Default"/>
        <w:ind w:firstLine="708"/>
        <w:jc w:val="both"/>
        <w:rPr>
          <w:lang w:val="pl-PL"/>
        </w:rPr>
      </w:pPr>
      <w:r w:rsidRPr="0039137B">
        <w:rPr>
          <w:lang w:val="pl-PL"/>
        </w:rPr>
        <w:t>h. fakt, że klient jest osobą lub podmiotem wpisanym przez Generalnego Inspektora Informacji Finansowej na listę osób i podmiotów, wobec których stosuje się szczególne środki ograniczające, o których mowa w rozdziale 10 ustawy,</w:t>
      </w:r>
    </w:p>
    <w:p w14:paraId="72F9CE9E" w14:textId="77777777" w:rsidR="00CD5C0E" w:rsidRPr="0039137B" w:rsidRDefault="00CD5C0E" w:rsidP="00CD5C0E">
      <w:pPr>
        <w:pStyle w:val="Default"/>
        <w:ind w:firstLine="708"/>
        <w:jc w:val="both"/>
        <w:rPr>
          <w:lang w:val="pl-PL"/>
        </w:rPr>
      </w:pPr>
      <w:r w:rsidRPr="0039137B">
        <w:rPr>
          <w:lang w:val="pl-PL"/>
        </w:rPr>
        <w:t>i. fakt, że klient posługuje się fałszywą tożsamością, co wynika z przedstawionych dokumentów,</w:t>
      </w:r>
    </w:p>
    <w:p w14:paraId="74786E2B" w14:textId="77777777" w:rsidR="00CD5C0E" w:rsidRPr="0039137B" w:rsidRDefault="00CD5C0E" w:rsidP="00CD5C0E">
      <w:pPr>
        <w:pStyle w:val="Default"/>
        <w:ind w:firstLine="708"/>
        <w:jc w:val="both"/>
        <w:rPr>
          <w:lang w:val="pl-PL"/>
        </w:rPr>
      </w:pPr>
      <w:r w:rsidRPr="0039137B">
        <w:rPr>
          <w:lang w:val="pl-PL"/>
        </w:rPr>
        <w:t>j. fakt, że klient odmawia przedłożenia dokumentów w rozumieniu art. 37 ustawy potwierdzających tożsamość klienta lub beneficjenta rzeczywistego, mimo, że dokumenty te może przedłożyć,</w:t>
      </w:r>
    </w:p>
    <w:p w14:paraId="4B2761AE" w14:textId="77777777" w:rsidR="00CD5C0E" w:rsidRPr="0039137B" w:rsidRDefault="00CD5C0E" w:rsidP="00CD5C0E">
      <w:pPr>
        <w:pStyle w:val="Default"/>
        <w:ind w:firstLine="708"/>
        <w:jc w:val="both"/>
        <w:rPr>
          <w:lang w:val="pl-PL"/>
        </w:rPr>
      </w:pPr>
      <w:r w:rsidRPr="0039137B">
        <w:rPr>
          <w:lang w:val="pl-PL"/>
        </w:rPr>
        <w:t>k. fakt, że klient umyślnie podaje dane niezgodne z rzeczywistością,</w:t>
      </w:r>
    </w:p>
    <w:p w14:paraId="40DB2601" w14:textId="77777777" w:rsidR="00CD5C0E" w:rsidRPr="0039137B" w:rsidRDefault="00CD5C0E" w:rsidP="00CD5C0E">
      <w:pPr>
        <w:pStyle w:val="Default"/>
        <w:ind w:firstLine="708"/>
        <w:jc w:val="both"/>
        <w:rPr>
          <w:lang w:val="pl-PL"/>
        </w:rPr>
      </w:pPr>
      <w:r w:rsidRPr="0039137B">
        <w:rPr>
          <w:lang w:val="pl-PL"/>
        </w:rPr>
        <w:t>l. fakt, że klient domaga się nieracjonalnie wysokiego poziomu poufności,</w:t>
      </w:r>
    </w:p>
    <w:p w14:paraId="324DCD61" w14:textId="77777777" w:rsidR="00CD5C0E" w:rsidRPr="0039137B" w:rsidRDefault="00CD5C0E" w:rsidP="00CD5C0E">
      <w:pPr>
        <w:pStyle w:val="Default"/>
        <w:ind w:firstLine="708"/>
        <w:jc w:val="both"/>
        <w:rPr>
          <w:lang w:val="pl-PL"/>
        </w:rPr>
      </w:pPr>
      <w:r w:rsidRPr="0039137B">
        <w:rPr>
          <w:lang w:val="pl-PL"/>
        </w:rPr>
        <w:t>m. fakt, że klient zachowuje się w sposób nietypowy (np. przejawia oznaki nieuzasadnionego zdenerwowania lub strachu),</w:t>
      </w:r>
    </w:p>
    <w:p w14:paraId="6DCCD3FC" w14:textId="77777777" w:rsidR="00CD5C0E" w:rsidRPr="0039137B" w:rsidRDefault="00CD5C0E" w:rsidP="00CD5C0E">
      <w:pPr>
        <w:pStyle w:val="Default"/>
        <w:ind w:firstLine="708"/>
        <w:jc w:val="both"/>
        <w:rPr>
          <w:lang w:val="pl-PL"/>
        </w:rPr>
      </w:pPr>
      <w:r w:rsidRPr="0039137B">
        <w:rPr>
          <w:lang w:val="pl-PL"/>
        </w:rPr>
        <w:t>n. fakt, że klient dokonuje transakcji w towarzystwie osoby trzeciej zachowującej się w sposób podejrzany lub wydającej mu polecenia dotyczące transakcji,</w:t>
      </w:r>
    </w:p>
    <w:p w14:paraId="65ED4AE7" w14:textId="77777777" w:rsidR="00CD5C0E" w:rsidRPr="0039137B" w:rsidRDefault="00CD5C0E" w:rsidP="00CD5C0E">
      <w:pPr>
        <w:pStyle w:val="Default"/>
        <w:ind w:firstLine="708"/>
        <w:jc w:val="both"/>
        <w:rPr>
          <w:lang w:val="pl-PL"/>
        </w:rPr>
      </w:pPr>
      <w:r w:rsidRPr="0039137B">
        <w:rPr>
          <w:lang w:val="pl-PL"/>
        </w:rPr>
        <w:t>o. fakt, że klient w nietypowy sposób transportuje znaczną ilość pieniędzy w gotówce,</w:t>
      </w:r>
    </w:p>
    <w:p w14:paraId="5B5F7089" w14:textId="77777777" w:rsidR="00CD5C0E" w:rsidRPr="0039137B" w:rsidRDefault="00CD5C0E" w:rsidP="00CD5C0E">
      <w:pPr>
        <w:pStyle w:val="Default"/>
        <w:ind w:firstLine="708"/>
        <w:jc w:val="both"/>
        <w:rPr>
          <w:lang w:val="pl-PL"/>
        </w:rPr>
      </w:pPr>
      <w:r w:rsidRPr="0039137B">
        <w:rPr>
          <w:lang w:val="pl-PL"/>
        </w:rPr>
        <w:t>p. fakt, że dokumenty przedstawione przez klienta budzą uzasadnione podejrzenie, co do ich autentyczności,</w:t>
      </w:r>
    </w:p>
    <w:p w14:paraId="776D11D5" w14:textId="77777777" w:rsidR="00CD5C0E" w:rsidRPr="0039137B" w:rsidRDefault="00CD5C0E" w:rsidP="00CD5C0E">
      <w:pPr>
        <w:pStyle w:val="Default"/>
        <w:ind w:firstLine="708"/>
        <w:jc w:val="both"/>
        <w:rPr>
          <w:lang w:val="pl-PL"/>
        </w:rPr>
      </w:pPr>
      <w:r w:rsidRPr="0039137B">
        <w:rPr>
          <w:lang w:val="pl-PL"/>
        </w:rPr>
        <w:t>r. związane z dokonywaną transakcją skomplikowane i długie łańcuchy powiązań organizacyjno-gospodarczych pomiędzy różnymi podmiotami: stowarzyszeniami, fundacjami, organizacjami charytatywnymi, trustami, w celu utrudnienia identyfikacji rzeczywistego właściciela podmiotu,</w:t>
      </w:r>
    </w:p>
    <w:p w14:paraId="2E51FEF5" w14:textId="77777777" w:rsidR="00CD5C0E" w:rsidRPr="0039137B" w:rsidRDefault="00CD5C0E" w:rsidP="00CD5C0E">
      <w:pPr>
        <w:pStyle w:val="Default"/>
        <w:ind w:firstLine="708"/>
        <w:jc w:val="both"/>
        <w:rPr>
          <w:lang w:val="pl-PL"/>
        </w:rPr>
      </w:pPr>
      <w:r w:rsidRPr="0039137B">
        <w:rPr>
          <w:lang w:val="pl-PL"/>
        </w:rPr>
        <w:t>s. fakt, że klient nie ujawnia danych pozwalających na weryfikację beneficjenta rzeczywistego,</w:t>
      </w:r>
    </w:p>
    <w:p w14:paraId="1AAECA1C" w14:textId="77777777" w:rsidR="00CD5C0E" w:rsidRPr="0039137B" w:rsidRDefault="00CD5C0E" w:rsidP="00CD5C0E">
      <w:pPr>
        <w:pStyle w:val="Default"/>
        <w:ind w:firstLine="708"/>
        <w:jc w:val="both"/>
        <w:rPr>
          <w:lang w:val="pl-PL"/>
        </w:rPr>
      </w:pPr>
      <w:r w:rsidRPr="0039137B">
        <w:rPr>
          <w:lang w:val="pl-PL"/>
        </w:rPr>
        <w:t>t. fakt, że klient z nieuzasadnionym opóźnieniem przekazuje informacje żądane przez notariusza,</w:t>
      </w:r>
    </w:p>
    <w:p w14:paraId="3E8C4420" w14:textId="77777777" w:rsidR="00CD5C0E" w:rsidRPr="0039137B" w:rsidRDefault="00CD5C0E" w:rsidP="00CD5C0E">
      <w:pPr>
        <w:pStyle w:val="Default"/>
        <w:ind w:firstLine="708"/>
        <w:jc w:val="both"/>
        <w:rPr>
          <w:lang w:val="pl-PL"/>
        </w:rPr>
      </w:pPr>
      <w:r w:rsidRPr="0039137B">
        <w:rPr>
          <w:lang w:val="pl-PL"/>
        </w:rPr>
        <w:t>u. fakt, że beneficjent rzeczywisty jest osobą zajmującą eksponowane stanowisko polityczne lub osobą bliską takiej osoby lub jej bliskim współpracownikiem,</w:t>
      </w:r>
    </w:p>
    <w:p w14:paraId="261E630F" w14:textId="77777777" w:rsidR="00CD5C0E" w:rsidRPr="0039137B" w:rsidRDefault="00CD5C0E" w:rsidP="00CD5C0E">
      <w:pPr>
        <w:pStyle w:val="Default"/>
        <w:ind w:firstLine="708"/>
        <w:jc w:val="both"/>
        <w:rPr>
          <w:lang w:val="pl-PL"/>
        </w:rPr>
      </w:pPr>
      <w:r w:rsidRPr="0039137B">
        <w:rPr>
          <w:lang w:val="pl-PL"/>
        </w:rPr>
        <w:t>v. fakt, że pomimo podjęcia uzasadnionych czynności notariusz nie jest w stanie ustalić, czy klient lub beneficjent rzeczywisty jest osobą zajmującą eksponowane stanowisko polityczne lub osobą bliską takiej osoby lub jej bliskim współpracownikiem.</w:t>
      </w:r>
    </w:p>
    <w:p w14:paraId="76CAEB58" w14:textId="77777777" w:rsidR="00CD5C0E" w:rsidRPr="0039137B" w:rsidRDefault="00CD5C0E" w:rsidP="00CD5C0E">
      <w:pPr>
        <w:pStyle w:val="Default"/>
        <w:ind w:firstLine="708"/>
        <w:jc w:val="both"/>
        <w:rPr>
          <w:lang w:val="pl-PL"/>
        </w:rPr>
      </w:pPr>
      <w:r w:rsidRPr="0039137B">
        <w:rPr>
          <w:lang w:val="pl-PL"/>
        </w:rPr>
        <w:t>w. fakt, że państwem zamieszkania lub siedziby klienta, państwem, którego obywatelstwo klient posiada lub państwem, którego obywatelstwo posiada beneficjent rzeczywisty jest:</w:t>
      </w:r>
    </w:p>
    <w:p w14:paraId="61B39850" w14:textId="77777777" w:rsidR="00CD5C0E" w:rsidRPr="0039137B" w:rsidRDefault="00CD5C0E" w:rsidP="00CD5C0E">
      <w:pPr>
        <w:pStyle w:val="Akapitzlist"/>
        <w:numPr>
          <w:ilvl w:val="0"/>
          <w:numId w:val="6"/>
        </w:numPr>
        <w:tabs>
          <w:tab w:val="left" w:pos="1931"/>
        </w:tabs>
        <w:ind w:left="1931"/>
        <w:jc w:val="both"/>
        <w:rPr>
          <w:lang w:val="pl-PL"/>
        </w:rPr>
      </w:pPr>
      <w:r w:rsidRPr="0039137B">
        <w:rPr>
          <w:lang w:val="pl-PL"/>
        </w:rPr>
        <w:t xml:space="preserve">państwo trzecie wysokiego ryzyka, o którym mowa w art. 2 ust. 2 pkt 13) Ustawy, wskazane w oświadczeniu Grupy Specjalnej do Spraw Przeciwdziałania Praniu Pieniędzy - Financial Action </w:t>
      </w:r>
      <w:proofErr w:type="spellStart"/>
      <w:r w:rsidRPr="0039137B">
        <w:rPr>
          <w:lang w:val="pl-PL"/>
        </w:rPr>
        <w:t>Task</w:t>
      </w:r>
      <w:proofErr w:type="spellEnd"/>
      <w:r w:rsidRPr="0039137B">
        <w:rPr>
          <w:lang w:val="pl-PL"/>
        </w:rPr>
        <w:t xml:space="preserve"> Force (FATF) publikowanym na stronie internetowej </w:t>
      </w:r>
      <w:hyperlink r:id="rId11" w:history="1">
        <w:r w:rsidRPr="0039137B">
          <w:rPr>
            <w:color w:val="00000A"/>
            <w:u w:val="single"/>
            <w:lang w:val="pl-PL"/>
          </w:rPr>
          <w:t>https://www.gov.pl/web/finanse/generalny-inspektor-informacji-finansowej</w:t>
        </w:r>
      </w:hyperlink>
      <w:r w:rsidRPr="0039137B">
        <w:rPr>
          <w:lang w:val="pl-PL"/>
        </w:rPr>
        <w:t xml:space="preserve"> prowadzonej przez Generalnego Inspektora Informacji Finansowej lub</w:t>
      </w:r>
      <w:r>
        <w:rPr>
          <w:lang w:val="pl-PL"/>
        </w:rPr>
        <w:t xml:space="preserve"> </w:t>
      </w:r>
      <w:r w:rsidRPr="0039137B">
        <w:rPr>
          <w:lang w:val="pl-PL"/>
        </w:rPr>
        <w:t xml:space="preserve">państwo wskazane na stronie internetowej </w:t>
      </w:r>
      <w:hyperlink r:id="rId12" w:history="1">
        <w:r w:rsidRPr="0039137B">
          <w:rPr>
            <w:color w:val="00000A"/>
            <w:u w:val="single"/>
            <w:lang w:val="pl-PL"/>
          </w:rPr>
          <w:t>https://www.gov.pl/web/finanse/generalny-inspektor-informacji-finansowej</w:t>
        </w:r>
      </w:hyperlink>
      <w:r w:rsidRPr="0039137B">
        <w:rPr>
          <w:lang w:val="pl-PL"/>
        </w:rPr>
        <w:t xml:space="preserve"> prowadzonej przez Generalnego Inspektora Informacji Finansowej, jako państwo o wysokim poziomie korupcji lub innego rodzaju działalności przestępczej, lub jako państwo finansujące lub wspierające popełnianie czynów o charakterze terrorystycznym, lub z którym łączona jest działalność organizacji o charakterze terrorystycznym, lub</w:t>
      </w:r>
      <w:r>
        <w:rPr>
          <w:lang w:val="pl-PL"/>
        </w:rPr>
        <w:t xml:space="preserve"> </w:t>
      </w:r>
      <w:r w:rsidRPr="0039137B">
        <w:rPr>
          <w:lang w:val="pl-PL"/>
        </w:rPr>
        <w:t xml:space="preserve">państwo wskazane na stronie internetowej </w:t>
      </w:r>
      <w:hyperlink r:id="rId13" w:history="1">
        <w:r w:rsidRPr="0039137B">
          <w:rPr>
            <w:color w:val="00000A"/>
            <w:u w:val="single"/>
            <w:lang w:val="pl-PL"/>
          </w:rPr>
          <w:t>https://www.gov.pl/web/finanse/generalny-inspektor-informacji-finansowej</w:t>
        </w:r>
      </w:hyperlink>
      <w:r w:rsidRPr="0039137B">
        <w:rPr>
          <w:lang w:val="pl-PL"/>
        </w:rPr>
        <w:t xml:space="preserve"> prowadzonej przez Generalnego Inspektora Informacji Finansowej, jako państwo w stosunku do którego Organizacja Narodów Zjednoczonych lub Unia Europejska podjęły decyzję o nałożeniu sankcji lub szczególnych środków ograniczających, </w:t>
      </w:r>
    </w:p>
    <w:p w14:paraId="41E70CF4" w14:textId="77777777" w:rsidR="00CD5C0E" w:rsidRPr="0039137B" w:rsidRDefault="00CD5C0E" w:rsidP="00CD5C0E">
      <w:pPr>
        <w:pStyle w:val="Default"/>
        <w:ind w:firstLine="708"/>
        <w:jc w:val="both"/>
        <w:rPr>
          <w:lang w:val="pl-PL"/>
        </w:rPr>
      </w:pPr>
      <w:r w:rsidRPr="0039137B">
        <w:rPr>
          <w:lang w:val="pl-PL"/>
        </w:rPr>
        <w:t xml:space="preserve">x. fakt, że strony żądają zawarcia umowy przewidującej rażąco nieekwiwalentne świadczenia wzajemne, </w:t>
      </w:r>
    </w:p>
    <w:p w14:paraId="57E8C8F3" w14:textId="77777777" w:rsidR="00CD5C0E" w:rsidRPr="0039137B" w:rsidRDefault="00CD5C0E" w:rsidP="00CD5C0E">
      <w:pPr>
        <w:pStyle w:val="Default"/>
        <w:ind w:firstLine="708"/>
        <w:jc w:val="both"/>
        <w:rPr>
          <w:lang w:val="pl-PL"/>
        </w:rPr>
      </w:pPr>
      <w:r w:rsidRPr="0039137B">
        <w:rPr>
          <w:lang w:val="pl-PL"/>
        </w:rPr>
        <w:t>y. fakt, że zapłata zobowiązania pieniężnego wynikającego z czynności objętej aktem notarialnym dokonywana jest gotówką w kwocie przekraczającej 15.000 euro, w szczególności w przypadku przedsiębiorców,</w:t>
      </w:r>
    </w:p>
    <w:p w14:paraId="18720A17" w14:textId="77777777" w:rsidR="00CD5C0E" w:rsidRPr="0039137B" w:rsidRDefault="00CD5C0E" w:rsidP="00CD5C0E">
      <w:pPr>
        <w:pStyle w:val="Default"/>
        <w:ind w:firstLine="708"/>
        <w:jc w:val="both"/>
        <w:rPr>
          <w:lang w:val="pl-PL"/>
        </w:rPr>
      </w:pPr>
      <w:r w:rsidRPr="0039137B">
        <w:rPr>
          <w:lang w:val="pl-PL"/>
        </w:rPr>
        <w:t>z. fakt, że w umowie objętej aktem notarialnym zastrzeżona jest kara umowna lub odstępne w wysokości nieadekwatnej do wartości przedmiotu transakcji,</w:t>
      </w:r>
    </w:p>
    <w:p w14:paraId="69F9D8D6" w14:textId="77777777" w:rsidR="00CD5C0E" w:rsidRPr="0039137B" w:rsidRDefault="00CD5C0E" w:rsidP="00CD5C0E">
      <w:pPr>
        <w:pStyle w:val="Default"/>
        <w:spacing w:before="26"/>
        <w:ind w:firstLine="708"/>
        <w:jc w:val="both"/>
        <w:rPr>
          <w:lang w:val="pl-PL"/>
        </w:rPr>
      </w:pPr>
      <w:r w:rsidRPr="0039137B">
        <w:rPr>
          <w:lang w:val="pl-PL"/>
        </w:rPr>
        <w:t>ż. fakt, że transakcja dokonana jest w nietypowych okolicznościach.</w:t>
      </w:r>
    </w:p>
    <w:p w14:paraId="31008AB2" w14:textId="77777777" w:rsidR="00CD5C0E" w:rsidRPr="0039137B" w:rsidRDefault="00CD5C0E" w:rsidP="00CD5C0E">
      <w:pPr>
        <w:pStyle w:val="Default"/>
        <w:jc w:val="center"/>
        <w:rPr>
          <w:lang w:val="pl-PL"/>
        </w:rPr>
      </w:pPr>
    </w:p>
    <w:p w14:paraId="7CD5994A" w14:textId="77777777" w:rsidR="00CD5C0E" w:rsidRPr="0039137B" w:rsidRDefault="00CD5C0E" w:rsidP="00CD5C0E">
      <w:pPr>
        <w:pStyle w:val="Default"/>
        <w:jc w:val="both"/>
        <w:rPr>
          <w:lang w:val="pl-PL"/>
        </w:rPr>
      </w:pPr>
    </w:p>
    <w:p w14:paraId="2966A8CA" w14:textId="77777777" w:rsidR="00CD5C0E" w:rsidRPr="0039137B" w:rsidRDefault="00CD5C0E" w:rsidP="00CD5C0E">
      <w:pPr>
        <w:pStyle w:val="Default"/>
        <w:jc w:val="center"/>
        <w:rPr>
          <w:lang w:val="pl-PL"/>
        </w:rPr>
      </w:pPr>
      <w:r w:rsidRPr="0039137B">
        <w:rPr>
          <w:b/>
          <w:lang w:val="pl-PL"/>
        </w:rPr>
        <w:t>§ 8</w:t>
      </w:r>
    </w:p>
    <w:p w14:paraId="62661F6D" w14:textId="77777777" w:rsidR="00CD5C0E" w:rsidRPr="0039137B" w:rsidRDefault="00CD5C0E" w:rsidP="00CD5C0E">
      <w:pPr>
        <w:pStyle w:val="Default"/>
        <w:jc w:val="center"/>
        <w:rPr>
          <w:lang w:val="pl-PL"/>
        </w:rPr>
      </w:pPr>
      <w:r w:rsidRPr="0039137B">
        <w:rPr>
          <w:b/>
          <w:lang w:val="pl-PL"/>
        </w:rPr>
        <w:t>Procedura ważenia czynników ryzyka i określenie poziomu rozpoznanego ryzyka transakcji, stosownie do art. 33</w:t>
      </w:r>
    </w:p>
    <w:p w14:paraId="02D094D5" w14:textId="77777777" w:rsidR="00CD5C0E" w:rsidRPr="0039137B" w:rsidRDefault="00CD5C0E" w:rsidP="00CD5C0E">
      <w:pPr>
        <w:pStyle w:val="Default"/>
        <w:jc w:val="center"/>
        <w:rPr>
          <w:lang w:val="pl-PL"/>
        </w:rPr>
      </w:pPr>
      <w:r w:rsidRPr="0039137B">
        <w:rPr>
          <w:b/>
          <w:lang w:val="pl-PL"/>
        </w:rPr>
        <w:t>.</w:t>
      </w:r>
    </w:p>
    <w:p w14:paraId="16EA6900" w14:textId="77777777" w:rsidR="00CD5C0E" w:rsidRPr="0039137B" w:rsidRDefault="00CD5C0E" w:rsidP="00CD5C0E">
      <w:pPr>
        <w:pStyle w:val="Default"/>
        <w:jc w:val="center"/>
        <w:rPr>
          <w:lang w:val="pl-PL"/>
        </w:rPr>
      </w:pPr>
    </w:p>
    <w:p w14:paraId="39CAF2A1" w14:textId="77777777" w:rsidR="00CD5C0E" w:rsidRPr="0039137B" w:rsidRDefault="00CD5C0E" w:rsidP="00CD5C0E">
      <w:pPr>
        <w:pStyle w:val="Default"/>
        <w:numPr>
          <w:ilvl w:val="0"/>
          <w:numId w:val="7"/>
        </w:numPr>
        <w:tabs>
          <w:tab w:val="left" w:pos="360"/>
        </w:tabs>
        <w:jc w:val="both"/>
        <w:rPr>
          <w:lang w:val="pl-PL"/>
        </w:rPr>
      </w:pPr>
      <w:r w:rsidRPr="0039137B">
        <w:rPr>
          <w:lang w:val="pl-PL"/>
        </w:rPr>
        <w:t xml:space="preserve">Notariusz po rozpoznaniu czynników ryzyka wymienionych w § 5, 6 i 7 oraz uwzględnieniu charakteru jego działalności określonego w § 2 ust. 2, dokonuje oceny ryzyka prania pieniędzy oraz finansowania terroryzmu, ważąc wymienione czynniki ryzyka, w celu ustalenia czy z analizowaną transakcją związane jest: </w:t>
      </w:r>
    </w:p>
    <w:p w14:paraId="39CADBDC" w14:textId="77777777" w:rsidR="00CD5C0E" w:rsidRPr="0039137B" w:rsidRDefault="00CD5C0E" w:rsidP="00CD5C0E">
      <w:pPr>
        <w:pStyle w:val="Default"/>
        <w:numPr>
          <w:ilvl w:val="0"/>
          <w:numId w:val="8"/>
        </w:numPr>
        <w:tabs>
          <w:tab w:val="left" w:pos="720"/>
        </w:tabs>
        <w:jc w:val="both"/>
        <w:rPr>
          <w:lang w:val="pl-PL"/>
        </w:rPr>
      </w:pPr>
      <w:r w:rsidRPr="0039137B">
        <w:rPr>
          <w:lang w:val="pl-PL"/>
        </w:rPr>
        <w:t xml:space="preserve">wyższe ryzyko prania pieniędzy oraz finansowania terroryzmu, albo </w:t>
      </w:r>
    </w:p>
    <w:p w14:paraId="36616ACD" w14:textId="77777777" w:rsidR="00CD5C0E" w:rsidRPr="0039137B" w:rsidRDefault="00CD5C0E" w:rsidP="00CD5C0E">
      <w:pPr>
        <w:pStyle w:val="Default"/>
        <w:numPr>
          <w:ilvl w:val="0"/>
          <w:numId w:val="8"/>
        </w:numPr>
        <w:tabs>
          <w:tab w:val="left" w:pos="720"/>
        </w:tabs>
        <w:jc w:val="both"/>
        <w:rPr>
          <w:lang w:val="pl-PL"/>
        </w:rPr>
      </w:pPr>
      <w:r w:rsidRPr="0039137B">
        <w:rPr>
          <w:lang w:val="pl-PL"/>
        </w:rPr>
        <w:t xml:space="preserve">średnie ryzyko prania pieniędzy oraz finansowania terroryzmu, albo </w:t>
      </w:r>
    </w:p>
    <w:p w14:paraId="524B192E" w14:textId="77777777" w:rsidR="00CD5C0E" w:rsidRPr="0039137B" w:rsidRDefault="00CD5C0E" w:rsidP="00CD5C0E">
      <w:pPr>
        <w:pStyle w:val="Default"/>
        <w:numPr>
          <w:ilvl w:val="0"/>
          <w:numId w:val="8"/>
        </w:numPr>
        <w:tabs>
          <w:tab w:val="left" w:pos="720"/>
        </w:tabs>
        <w:jc w:val="both"/>
        <w:rPr>
          <w:lang w:val="pl-PL"/>
        </w:rPr>
      </w:pPr>
      <w:r w:rsidRPr="0039137B">
        <w:rPr>
          <w:lang w:val="pl-PL"/>
        </w:rPr>
        <w:t>niskie ryzyko prania pieniędzy oraz finansowania terroryzmu.</w:t>
      </w:r>
    </w:p>
    <w:p w14:paraId="2611EA54" w14:textId="77777777" w:rsidR="00CD5C0E" w:rsidRPr="0039137B" w:rsidRDefault="00CD5C0E" w:rsidP="00CD5C0E">
      <w:pPr>
        <w:pStyle w:val="Default"/>
        <w:jc w:val="both"/>
        <w:rPr>
          <w:lang w:val="pl-PL"/>
        </w:rPr>
      </w:pPr>
      <w:r w:rsidRPr="0039137B">
        <w:rPr>
          <w:b/>
          <w:color w:val="000000"/>
          <w:lang w:val="pl-PL"/>
        </w:rPr>
        <w:t>2.</w:t>
      </w:r>
      <w:r w:rsidRPr="0039137B">
        <w:rPr>
          <w:color w:val="000000"/>
          <w:lang w:val="pl-PL"/>
        </w:rPr>
        <w:t xml:space="preserve"> Ważenia czynników ryzyka notariusz dokonuje poprzez zbilansowanie ich wartości w sposób następujący:</w:t>
      </w:r>
    </w:p>
    <w:p w14:paraId="18577295" w14:textId="77777777" w:rsidR="00CD5C0E" w:rsidRPr="0039137B" w:rsidRDefault="00CD5C0E" w:rsidP="00CD5C0E">
      <w:pPr>
        <w:pStyle w:val="Akapitzlist"/>
        <w:jc w:val="both"/>
        <w:rPr>
          <w:lang w:val="pl-PL"/>
        </w:rPr>
      </w:pPr>
      <w:r w:rsidRPr="0039137B">
        <w:rPr>
          <w:color w:val="000000"/>
          <w:lang w:val="pl-PL"/>
        </w:rPr>
        <w:t>- jeśli w transakcji występuje przewaga czynników o wartości „–1”, to ocenia ryzyko jako niższe (-1),</w:t>
      </w:r>
    </w:p>
    <w:p w14:paraId="6DD37E57" w14:textId="77777777" w:rsidR="00CD5C0E" w:rsidRPr="0039137B" w:rsidRDefault="00CD5C0E" w:rsidP="00CD5C0E">
      <w:pPr>
        <w:pStyle w:val="Akapitzlist"/>
        <w:jc w:val="both"/>
        <w:rPr>
          <w:lang w:val="pl-PL"/>
        </w:rPr>
      </w:pPr>
      <w:r w:rsidRPr="0039137B">
        <w:rPr>
          <w:color w:val="000000"/>
          <w:lang w:val="pl-PL"/>
        </w:rPr>
        <w:t>-jeśli w transakcji występuje przewaga czynników o wartości „+1”, to ocenia ryzyko jako wyższe (+1)</w:t>
      </w:r>
    </w:p>
    <w:p w14:paraId="65A2C2FE" w14:textId="77777777" w:rsidR="00CD5C0E" w:rsidRPr="0039137B" w:rsidRDefault="00CD5C0E" w:rsidP="00CD5C0E">
      <w:pPr>
        <w:pStyle w:val="Akapitzlist"/>
        <w:jc w:val="both"/>
        <w:rPr>
          <w:lang w:val="pl-PL"/>
        </w:rPr>
      </w:pPr>
      <w:r w:rsidRPr="0039137B">
        <w:rPr>
          <w:color w:val="000000"/>
          <w:lang w:val="pl-PL"/>
        </w:rPr>
        <w:t>- jeśli w transakcji występuje równowaga pomiędzy czynnikami o wartości „+1” i „-1”, albo brak jest zarówno czynników „+1”, jak i „-1”, ryzyko ocenia jako średnie (0), z tym zastrzeżeniem, że w przypadku gdy klient lub beneficjent rzeczywisty jest osobą zajmującą eksponowane stanowisko polityczne lub osobą bliską takiej osoby lub jej bliskim współpracownikiem lub klient pochodzi z państwa trzeciego wysokiego ryzyka lub ma w nim siedzibę ryzyko ocenia zawsze jako wyższe (+ 1).</w:t>
      </w:r>
    </w:p>
    <w:p w14:paraId="301F7FFD" w14:textId="77777777" w:rsidR="00CD5C0E" w:rsidRPr="0039137B" w:rsidRDefault="00CD5C0E" w:rsidP="00CD5C0E">
      <w:pPr>
        <w:pStyle w:val="Akapitzlist"/>
        <w:jc w:val="both"/>
        <w:rPr>
          <w:lang w:val="pl-PL"/>
        </w:rPr>
      </w:pPr>
      <w:r w:rsidRPr="0039137B">
        <w:rPr>
          <w:color w:val="000000"/>
          <w:lang w:val="pl-PL"/>
        </w:rPr>
        <w:t xml:space="preserve">Notariusz dokumentuje rozpoznane ryzyko prania pieniędzy oraz finansowania terroryzmu związane z każdą transakcją oraz jego ocenę przy wykorzystaniu wzoru Tabeli Oceny </w:t>
      </w:r>
      <w:r w:rsidRPr="0039137B">
        <w:rPr>
          <w:color w:val="000000"/>
          <w:lang w:val="pl-PL"/>
        </w:rPr>
        <w:lastRenderedPageBreak/>
        <w:t>Rozpoznanego Ryzyka Transakcji, stanowiącej załącznik nr 1b do procedury wewnętrznej w zakresie przeciwdziałania praniu pieniędzy oraz finansowaniu terroryzmu.</w:t>
      </w:r>
    </w:p>
    <w:p w14:paraId="437DCE19" w14:textId="77777777" w:rsidR="00CD5C0E" w:rsidRPr="0039137B" w:rsidRDefault="00CD5C0E" w:rsidP="00CD5C0E">
      <w:pPr>
        <w:pStyle w:val="Default"/>
        <w:jc w:val="both"/>
        <w:rPr>
          <w:lang w:val="pl-PL"/>
        </w:rPr>
      </w:pPr>
      <w:r w:rsidRPr="0039137B">
        <w:rPr>
          <w:b/>
          <w:color w:val="000000"/>
          <w:lang w:val="pl-PL"/>
        </w:rPr>
        <w:t>3.</w:t>
      </w:r>
      <w:r w:rsidRPr="0039137B">
        <w:rPr>
          <w:color w:val="000000"/>
          <w:lang w:val="pl-PL"/>
        </w:rPr>
        <w:t xml:space="preserve"> Stosownie do dokonanej oceny ryzyka prania pieniędzy oraz finansowania terroryzmu notariusz stosuje odpowiednie środki bezpieczeństwa finansowego określone w wewnętrznej procedurze w zakresie przeciwdziałania praniu pieniędzy oraz finansowaniu terroryzmu. </w:t>
      </w:r>
    </w:p>
    <w:p w14:paraId="4C586FF8" w14:textId="77777777" w:rsidR="00CD5C0E" w:rsidRPr="0039137B" w:rsidRDefault="00CD5C0E" w:rsidP="00CD5C0E">
      <w:pPr>
        <w:pStyle w:val="Default"/>
        <w:jc w:val="both"/>
        <w:rPr>
          <w:lang w:val="pl-PL"/>
        </w:rPr>
      </w:pPr>
      <w:r w:rsidRPr="0039137B">
        <w:rPr>
          <w:b/>
          <w:color w:val="000000"/>
          <w:lang w:val="pl-PL"/>
        </w:rPr>
        <w:t>4.</w:t>
      </w:r>
      <w:r w:rsidRPr="0039137B">
        <w:rPr>
          <w:color w:val="000000"/>
          <w:lang w:val="pl-PL"/>
        </w:rPr>
        <w:t xml:space="preserve"> Ważenie ryzyka nie może prowadzić do omijania  przepisów Ustawy lub Dyrektywy Parlamentu Europejskiego </w:t>
      </w:r>
      <w:r w:rsidRPr="0039137B">
        <w:rPr>
          <w:lang w:val="pl-PL"/>
        </w:rPr>
        <w:t>i Rady (UE) 2015/849 z dnia 20 maja 2015 r. w sprawie zapobiegania wykorzystywaniu systemu finansowego do prania pieniędzy lub finansowania terroryzmu.</w:t>
      </w:r>
    </w:p>
    <w:p w14:paraId="77CC6398" w14:textId="77777777" w:rsidR="00CD5C0E" w:rsidRPr="0039137B" w:rsidRDefault="00CD5C0E" w:rsidP="00CD5C0E">
      <w:pPr>
        <w:pStyle w:val="Default"/>
        <w:jc w:val="both"/>
        <w:rPr>
          <w:lang w:val="pl-PL"/>
        </w:rPr>
      </w:pPr>
    </w:p>
    <w:p w14:paraId="7715AAA3" w14:textId="77777777" w:rsidR="00CD5C0E" w:rsidRPr="0039137B" w:rsidRDefault="00CD5C0E" w:rsidP="00CD5C0E">
      <w:pPr>
        <w:pStyle w:val="Default"/>
        <w:jc w:val="center"/>
        <w:rPr>
          <w:lang w:val="pl-PL"/>
        </w:rPr>
      </w:pPr>
      <w:r w:rsidRPr="0039137B">
        <w:rPr>
          <w:b/>
          <w:lang w:val="pl-PL"/>
        </w:rPr>
        <w:t>§ 9</w:t>
      </w:r>
    </w:p>
    <w:p w14:paraId="15402920" w14:textId="77777777" w:rsidR="00CD5C0E" w:rsidRPr="0039137B" w:rsidRDefault="00CD5C0E" w:rsidP="00CD5C0E">
      <w:pPr>
        <w:pStyle w:val="Default"/>
        <w:jc w:val="center"/>
        <w:rPr>
          <w:lang w:val="pl-PL"/>
        </w:rPr>
      </w:pPr>
    </w:p>
    <w:p w14:paraId="5976787B" w14:textId="77777777" w:rsidR="00CD5C0E" w:rsidRPr="0039137B" w:rsidRDefault="00CD5C0E" w:rsidP="00CD5C0E">
      <w:pPr>
        <w:pStyle w:val="Default"/>
        <w:jc w:val="center"/>
        <w:rPr>
          <w:lang w:val="pl-PL"/>
        </w:rPr>
      </w:pPr>
      <w:r w:rsidRPr="0039137B">
        <w:rPr>
          <w:b/>
          <w:lang w:val="pl-PL"/>
        </w:rPr>
        <w:t>Ocena ryzyka związanego z praniem pieniędzy i finansowaniem terroryzmu odnoszącego się do działalności zawodowej Notariusza w &lt;</w:t>
      </w:r>
      <w:proofErr w:type="spellStart"/>
      <w:r>
        <w:rPr>
          <w:b/>
          <w:lang w:val="pl-PL"/>
        </w:rPr>
        <w:t>O;ZestAnieta.Kancelaria</w:t>
      </w:r>
      <w:r w:rsidRPr="0039137B">
        <w:rPr>
          <w:b/>
          <w:lang w:val="pl-PL"/>
        </w:rPr>
        <w:t>.</w:t>
      </w:r>
      <w:r>
        <w:rPr>
          <w:b/>
          <w:lang w:val="pl-PL"/>
        </w:rPr>
        <w:t>Miejscowosc</w:t>
      </w:r>
      <w:proofErr w:type="spellEnd"/>
      <w:r w:rsidRPr="0039137B">
        <w:rPr>
          <w:b/>
          <w:lang w:val="pl-PL"/>
        </w:rPr>
        <w:t>&gt; jako instytucji obowiązanej, stosownie do art. 27 Ustawy</w:t>
      </w:r>
    </w:p>
    <w:p w14:paraId="30F8E7F1" w14:textId="77777777" w:rsidR="00CD5C0E" w:rsidRPr="0039137B" w:rsidRDefault="00CD5C0E" w:rsidP="00CD5C0E">
      <w:pPr>
        <w:pStyle w:val="Default"/>
        <w:jc w:val="center"/>
        <w:rPr>
          <w:lang w:val="pl-PL"/>
        </w:rPr>
      </w:pPr>
    </w:p>
    <w:p w14:paraId="57E6D98C" w14:textId="77777777" w:rsidR="00CD5C0E" w:rsidRPr="0039137B" w:rsidRDefault="00CD5C0E" w:rsidP="00CD5C0E">
      <w:pPr>
        <w:pStyle w:val="Default"/>
        <w:jc w:val="both"/>
        <w:rPr>
          <w:lang w:val="pl-PL"/>
        </w:rPr>
      </w:pPr>
      <w:r w:rsidRPr="0039137B">
        <w:rPr>
          <w:lang w:val="pl-PL"/>
        </w:rPr>
        <w:t xml:space="preserve">Notariusz </w:t>
      </w:r>
      <w:r w:rsidRPr="0039137B">
        <w:rPr>
          <w:b/>
          <w:lang w:val="pl-PL"/>
        </w:rPr>
        <w:t>&lt;</w:t>
      </w:r>
      <w:proofErr w:type="spellStart"/>
      <w:r>
        <w:rPr>
          <w:b/>
          <w:lang w:val="pl-PL"/>
        </w:rPr>
        <w:t>O;ZestAnkieta.Kancelaria.Nazwa</w:t>
      </w:r>
      <w:proofErr w:type="spellEnd"/>
      <w:r w:rsidRPr="0039137B">
        <w:rPr>
          <w:b/>
          <w:lang w:val="pl-PL"/>
        </w:rPr>
        <w:t>&gt;</w:t>
      </w:r>
      <w:r w:rsidRPr="0039137B">
        <w:rPr>
          <w:lang w:val="pl-PL"/>
        </w:rPr>
        <w:t xml:space="preserve"> w </w:t>
      </w:r>
      <w:r w:rsidRPr="0039137B">
        <w:rPr>
          <w:b/>
          <w:lang w:val="pl-PL"/>
        </w:rPr>
        <w:t>&lt;</w:t>
      </w:r>
      <w:proofErr w:type="spellStart"/>
      <w:r>
        <w:rPr>
          <w:b/>
          <w:lang w:val="pl-PL"/>
        </w:rPr>
        <w:t>O;ZestAnkieta.Kancelaria.M</w:t>
      </w:r>
      <w:r w:rsidRPr="0039137B">
        <w:rPr>
          <w:b/>
          <w:lang w:val="pl-PL"/>
        </w:rPr>
        <w:t>iejscowosc</w:t>
      </w:r>
      <w:proofErr w:type="spellEnd"/>
      <w:r w:rsidRPr="0039137B">
        <w:rPr>
          <w:b/>
          <w:lang w:val="pl-PL"/>
        </w:rPr>
        <w:t>&gt;</w:t>
      </w:r>
      <w:r w:rsidRPr="0039137B">
        <w:rPr>
          <w:lang w:val="pl-PL"/>
        </w:rPr>
        <w:t xml:space="preserve"> prowadzi kancelarię notarialną zatrudniającą </w:t>
      </w:r>
      <w:r w:rsidRPr="0039137B">
        <w:rPr>
          <w:b/>
          <w:lang w:val="pl-PL"/>
        </w:rPr>
        <w:t>&lt;</w:t>
      </w:r>
      <w:proofErr w:type="spellStart"/>
      <w:r>
        <w:rPr>
          <w:b/>
          <w:lang w:val="pl-PL"/>
        </w:rPr>
        <w:t>O;ZestAnkieta.PracownicyIlosc</w:t>
      </w:r>
      <w:proofErr w:type="spellEnd"/>
      <w:r w:rsidRPr="0039137B">
        <w:rPr>
          <w:b/>
          <w:lang w:val="pl-PL"/>
        </w:rPr>
        <w:t>&gt;</w:t>
      </w:r>
      <w:r w:rsidRPr="0039137B">
        <w:rPr>
          <w:lang w:val="pl-PL"/>
        </w:rPr>
        <w:t xml:space="preserve"> pracowników, w której przeprowadza w ciągu roku około </w:t>
      </w:r>
      <w:r w:rsidRPr="0039137B">
        <w:rPr>
          <w:b/>
          <w:lang w:val="pl-PL"/>
        </w:rPr>
        <w:t>&lt;</w:t>
      </w:r>
      <w:proofErr w:type="spellStart"/>
      <w:r>
        <w:rPr>
          <w:b/>
          <w:lang w:val="pl-PL"/>
        </w:rPr>
        <w:t>O;ZestAnkieta.RokIlosc</w:t>
      </w:r>
      <w:proofErr w:type="spellEnd"/>
      <w:r w:rsidRPr="0039137B">
        <w:rPr>
          <w:b/>
          <w:lang w:val="pl-PL"/>
        </w:rPr>
        <w:t>&gt;</w:t>
      </w:r>
      <w:r w:rsidRPr="0039137B">
        <w:rPr>
          <w:lang w:val="pl-PL"/>
        </w:rPr>
        <w:t xml:space="preserve"> transakcji. Są to głównie transakcje </w:t>
      </w:r>
      <w:r w:rsidRPr="0039137B">
        <w:rPr>
          <w:b/>
          <w:lang w:val="pl-PL"/>
        </w:rPr>
        <w:t>&lt;</w:t>
      </w:r>
      <w:proofErr w:type="spellStart"/>
      <w:r>
        <w:rPr>
          <w:b/>
          <w:lang w:val="pl-PL"/>
        </w:rPr>
        <w:t>O;ZestAnkieta.RyzykoGlowne</w:t>
      </w:r>
      <w:proofErr w:type="spellEnd"/>
      <w:r w:rsidRPr="0039137B">
        <w:rPr>
          <w:b/>
          <w:lang w:val="pl-PL"/>
        </w:rPr>
        <w:t>&gt;</w:t>
      </w:r>
      <w:r>
        <w:rPr>
          <w:b/>
          <w:lang w:val="pl-PL"/>
        </w:rPr>
        <w:t xml:space="preserve"> ryzyka</w:t>
      </w:r>
      <w:r w:rsidRPr="0039137B">
        <w:rPr>
          <w:lang w:val="pl-PL"/>
        </w:rPr>
        <w:t xml:space="preserve">. W mniejszej ilości są to transakcje </w:t>
      </w:r>
      <w:r w:rsidRPr="0039137B">
        <w:rPr>
          <w:b/>
          <w:lang w:val="pl-PL"/>
        </w:rPr>
        <w:t>&lt;</w:t>
      </w:r>
      <w:proofErr w:type="spellStart"/>
      <w:r>
        <w:rPr>
          <w:b/>
          <w:lang w:val="pl-PL"/>
        </w:rPr>
        <w:t>O;ZestAnkieta.RyzykoSrednie</w:t>
      </w:r>
      <w:proofErr w:type="spellEnd"/>
      <w:r w:rsidRPr="0039137B">
        <w:rPr>
          <w:b/>
          <w:lang w:val="pl-PL"/>
        </w:rPr>
        <w:t>&gt;</w:t>
      </w:r>
      <w:r>
        <w:rPr>
          <w:b/>
          <w:lang w:val="pl-PL"/>
        </w:rPr>
        <w:t xml:space="preserve"> ryzyka</w:t>
      </w:r>
      <w:r w:rsidRPr="0039137B">
        <w:rPr>
          <w:lang w:val="pl-PL"/>
        </w:rPr>
        <w:t xml:space="preserve">. Sporadycznie notariusz przeprowadza także transakcje </w:t>
      </w:r>
      <w:r w:rsidRPr="0039137B">
        <w:rPr>
          <w:b/>
          <w:lang w:val="pl-PL"/>
        </w:rPr>
        <w:t>&lt;</w:t>
      </w:r>
      <w:proofErr w:type="spellStart"/>
      <w:r>
        <w:rPr>
          <w:b/>
          <w:lang w:val="pl-PL"/>
        </w:rPr>
        <w:t>O;ZestAnkieta.RyzykoSporadyczne</w:t>
      </w:r>
      <w:proofErr w:type="spellEnd"/>
      <w:r w:rsidRPr="0039137B">
        <w:rPr>
          <w:b/>
          <w:lang w:val="pl-PL"/>
        </w:rPr>
        <w:t>&gt;</w:t>
      </w:r>
      <w:r>
        <w:rPr>
          <w:b/>
          <w:lang w:val="pl-PL"/>
        </w:rPr>
        <w:t xml:space="preserve"> ryzyka</w:t>
      </w:r>
      <w:r w:rsidRPr="0039137B">
        <w:rPr>
          <w:lang w:val="pl-PL"/>
        </w:rPr>
        <w:t>.</w:t>
      </w:r>
    </w:p>
    <w:p w14:paraId="4E34B743" w14:textId="77777777" w:rsidR="00CD5C0E" w:rsidRPr="0039137B" w:rsidRDefault="00CD5C0E" w:rsidP="00CD5C0E">
      <w:pPr>
        <w:pStyle w:val="Default"/>
        <w:jc w:val="both"/>
        <w:rPr>
          <w:lang w:val="pl-PL"/>
        </w:rPr>
      </w:pPr>
      <w:r w:rsidRPr="0039137B">
        <w:rPr>
          <w:lang w:val="pl-PL"/>
        </w:rPr>
        <w:t xml:space="preserve">Z uwagi na specyfikę trybu przeprowadzania transakcji opisanego w § 2 ust. 2, które dokonywane są tylko w formie aktu notarialnego, działalność zawodowa notariusza niesie ze sobą niskie ryzyko prania pieniędzy oraz finansowania terroryzmu.   </w:t>
      </w:r>
    </w:p>
    <w:p w14:paraId="5767524A" w14:textId="77777777" w:rsidR="00CD5C0E" w:rsidRPr="0039137B" w:rsidRDefault="00CD5C0E" w:rsidP="00CD5C0E">
      <w:pPr>
        <w:pStyle w:val="Default"/>
        <w:jc w:val="both"/>
        <w:rPr>
          <w:lang w:val="pl-PL"/>
        </w:rPr>
      </w:pPr>
    </w:p>
    <w:p w14:paraId="31CCCFA1" w14:textId="77777777" w:rsidR="00CD5C0E" w:rsidRPr="0039137B" w:rsidRDefault="00CD5C0E" w:rsidP="00CD5C0E">
      <w:pPr>
        <w:pStyle w:val="Default"/>
        <w:jc w:val="center"/>
        <w:rPr>
          <w:lang w:val="pl-PL"/>
        </w:rPr>
      </w:pPr>
      <w:r w:rsidRPr="0039137B">
        <w:rPr>
          <w:b/>
          <w:lang w:val="pl-PL"/>
        </w:rPr>
        <w:t>§ 10</w:t>
      </w:r>
    </w:p>
    <w:p w14:paraId="194618CD" w14:textId="77777777" w:rsidR="00CD5C0E" w:rsidRPr="0039137B" w:rsidRDefault="00CD5C0E" w:rsidP="00CD5C0E">
      <w:pPr>
        <w:pStyle w:val="Default"/>
        <w:jc w:val="center"/>
        <w:rPr>
          <w:lang w:val="pl-PL"/>
        </w:rPr>
      </w:pPr>
      <w:r w:rsidRPr="0039137B">
        <w:rPr>
          <w:b/>
          <w:lang w:val="pl-PL"/>
        </w:rPr>
        <w:t>Postanowienia końcowe</w:t>
      </w:r>
    </w:p>
    <w:p w14:paraId="313224A0" w14:textId="77777777" w:rsidR="00CD5C0E" w:rsidRPr="0039137B" w:rsidRDefault="00CD5C0E" w:rsidP="00CD5C0E">
      <w:pPr>
        <w:pStyle w:val="Default"/>
        <w:jc w:val="both"/>
        <w:rPr>
          <w:lang w:val="pl-PL"/>
        </w:rPr>
      </w:pPr>
    </w:p>
    <w:p w14:paraId="6BB3D1C8" w14:textId="77777777" w:rsidR="00CD5C0E" w:rsidRPr="0039137B" w:rsidRDefault="00CD5C0E" w:rsidP="00CD5C0E">
      <w:pPr>
        <w:pStyle w:val="Textbodyindent"/>
        <w:numPr>
          <w:ilvl w:val="0"/>
          <w:numId w:val="9"/>
        </w:numPr>
        <w:tabs>
          <w:tab w:val="left" w:pos="643"/>
        </w:tabs>
        <w:spacing w:after="0"/>
        <w:ind w:left="643"/>
        <w:jc w:val="both"/>
        <w:rPr>
          <w:lang w:val="pl-PL"/>
        </w:rPr>
      </w:pPr>
      <w:r w:rsidRPr="0039137B">
        <w:rPr>
          <w:lang w:val="pl-PL"/>
        </w:rPr>
        <w:t>Notariusz dokonuje okresowych aktualizacji niniejszej oceny ryzyka, nie rzadziej niż co 2 lata, zawsze w przypadku zmiany czynników ryzyka, opisanych w niniejszej ocenie.</w:t>
      </w:r>
    </w:p>
    <w:p w14:paraId="6C83E6AE" w14:textId="77777777" w:rsidR="00CD5C0E" w:rsidRPr="0039137B" w:rsidRDefault="00CD5C0E" w:rsidP="00CD5C0E">
      <w:pPr>
        <w:pStyle w:val="Textbodyindent"/>
        <w:numPr>
          <w:ilvl w:val="0"/>
          <w:numId w:val="9"/>
        </w:numPr>
        <w:tabs>
          <w:tab w:val="left" w:pos="643"/>
        </w:tabs>
        <w:spacing w:after="0"/>
        <w:ind w:left="643"/>
        <w:jc w:val="both"/>
        <w:rPr>
          <w:lang w:val="pl-PL"/>
        </w:rPr>
      </w:pPr>
      <w:r w:rsidRPr="0039137B">
        <w:rPr>
          <w:lang w:val="pl-PL"/>
        </w:rPr>
        <w:t xml:space="preserve">Przy stosowaniu niniejszej oceny ryzyka należy uwzględnić charakter notariusza jako instytucji obowiązanej oraz przepisów ustawy Prawo o notariacie. </w:t>
      </w:r>
    </w:p>
    <w:p w14:paraId="1B359953" w14:textId="77777777" w:rsidR="00CD5C0E" w:rsidRPr="0039137B" w:rsidRDefault="00CD5C0E" w:rsidP="00CD5C0E">
      <w:pPr>
        <w:pStyle w:val="Default"/>
        <w:spacing w:after="160" w:line="252" w:lineRule="auto"/>
        <w:jc w:val="center"/>
        <w:rPr>
          <w:lang w:val="pl-PL"/>
        </w:rPr>
      </w:pPr>
    </w:p>
    <w:p w14:paraId="7247BF38" w14:textId="77777777" w:rsidR="00CD5C0E" w:rsidRPr="0039137B" w:rsidRDefault="00CD5C0E" w:rsidP="00CD5C0E">
      <w:pPr>
        <w:pStyle w:val="Textbody"/>
        <w:pageBreakBefore/>
        <w:jc w:val="center"/>
        <w:rPr>
          <w:lang w:val="pl-PL"/>
        </w:rPr>
      </w:pPr>
      <w:r w:rsidRPr="0039137B">
        <w:rPr>
          <w:lang w:val="pl-PL"/>
        </w:rPr>
        <w:lastRenderedPageBreak/>
        <w:t>Podsumowanie</w:t>
      </w:r>
    </w:p>
    <w:p w14:paraId="457FBEC8" w14:textId="77777777" w:rsidR="00CD5C0E" w:rsidRPr="00E93226" w:rsidRDefault="00CD5C0E" w:rsidP="00CD5C0E">
      <w:pPr>
        <w:pStyle w:val="Textbody"/>
        <w:spacing w:after="160" w:line="252" w:lineRule="auto"/>
        <w:rPr>
          <w:lang w:val="pl-PL"/>
        </w:rPr>
      </w:pPr>
      <w:r w:rsidRPr="0039137B">
        <w:rPr>
          <w:lang w:val="pl-PL"/>
        </w:rPr>
        <w:t xml:space="preserve">Suma przeprowadzonych analiz: </w:t>
      </w:r>
      <w:r w:rsidRPr="00E93226">
        <w:rPr>
          <w:b/>
          <w:lang w:val="pl-PL"/>
        </w:rPr>
        <w:t>&lt;</w:t>
      </w:r>
      <w:proofErr w:type="spellStart"/>
      <w:r w:rsidRPr="00E93226">
        <w:rPr>
          <w:b/>
          <w:lang w:val="pl-PL"/>
        </w:rPr>
        <w:t>O;ZestAnkieta.</w:t>
      </w:r>
      <w:r>
        <w:rPr>
          <w:b/>
          <w:lang w:val="pl-PL"/>
        </w:rPr>
        <w:t>Ilosc</w:t>
      </w:r>
      <w:proofErr w:type="spellEnd"/>
      <w:r w:rsidRPr="00E93226">
        <w:rPr>
          <w:b/>
          <w:lang w:val="pl-PL"/>
        </w:rPr>
        <w:t>&gt;</w:t>
      </w:r>
    </w:p>
    <w:p w14:paraId="50C6C6D0" w14:textId="77777777" w:rsidR="00CD5C0E" w:rsidRPr="00E93226" w:rsidRDefault="00CD5C0E" w:rsidP="00CD5C0E">
      <w:pPr>
        <w:pStyle w:val="Textbody"/>
        <w:spacing w:after="160" w:line="252" w:lineRule="auto"/>
        <w:rPr>
          <w:lang w:val="pl-PL"/>
        </w:rPr>
      </w:pPr>
      <w:r w:rsidRPr="0039137B">
        <w:rPr>
          <w:lang w:val="pl-PL"/>
        </w:rPr>
        <w:t xml:space="preserve">Okres za jaki zostały wygenerowane analizy: </w:t>
      </w:r>
      <w:r w:rsidRPr="00E93226">
        <w:rPr>
          <w:b/>
          <w:lang w:val="pl-PL"/>
        </w:rPr>
        <w:t>&lt;</w:t>
      </w:r>
      <w:proofErr w:type="spellStart"/>
      <w:r w:rsidRPr="00E93226">
        <w:rPr>
          <w:b/>
          <w:lang w:val="pl-PL"/>
        </w:rPr>
        <w:t>O;ZestAnkieta.</w:t>
      </w:r>
      <w:r>
        <w:rPr>
          <w:b/>
          <w:lang w:val="pl-PL"/>
        </w:rPr>
        <w:t>Od</w:t>
      </w:r>
      <w:proofErr w:type="spellEnd"/>
      <w:r w:rsidRPr="00E93226">
        <w:rPr>
          <w:b/>
          <w:lang w:val="pl-PL"/>
        </w:rPr>
        <w:t>&gt;</w:t>
      </w:r>
      <w:r w:rsidRPr="0039137B">
        <w:rPr>
          <w:lang w:val="pl-PL"/>
        </w:rPr>
        <w:t xml:space="preserve"> – </w:t>
      </w:r>
      <w:r w:rsidRPr="00E93226">
        <w:rPr>
          <w:b/>
          <w:lang w:val="pl-PL"/>
        </w:rPr>
        <w:t>&lt;</w:t>
      </w:r>
      <w:proofErr w:type="spellStart"/>
      <w:r w:rsidRPr="00E93226">
        <w:rPr>
          <w:b/>
          <w:lang w:val="pl-PL"/>
        </w:rPr>
        <w:t>O;ZestAnkieta.</w:t>
      </w:r>
      <w:r>
        <w:rPr>
          <w:b/>
          <w:lang w:val="pl-PL"/>
        </w:rPr>
        <w:t>Do</w:t>
      </w:r>
      <w:proofErr w:type="spellEnd"/>
      <w:r w:rsidRPr="00E93226">
        <w:rPr>
          <w:b/>
          <w:lang w:val="pl-PL"/>
        </w:rPr>
        <w:t>&gt;</w:t>
      </w:r>
    </w:p>
    <w:p w14:paraId="74C5F054" w14:textId="77777777" w:rsidR="00CD5C0E" w:rsidRPr="00E93226" w:rsidRDefault="00CD5C0E" w:rsidP="00CD5C0E">
      <w:pPr>
        <w:pStyle w:val="Textbody"/>
        <w:spacing w:after="160" w:line="252" w:lineRule="auto"/>
        <w:rPr>
          <w:lang w:val="pl-PL"/>
        </w:rPr>
      </w:pPr>
      <w:r w:rsidRPr="0039137B">
        <w:rPr>
          <w:lang w:val="pl-PL"/>
        </w:rPr>
        <w:t xml:space="preserve">Dokument został wygenerowany przez: </w:t>
      </w:r>
      <w:r w:rsidRPr="00E93226">
        <w:rPr>
          <w:b/>
          <w:lang w:val="pl-PL"/>
        </w:rPr>
        <w:t>&lt;</w:t>
      </w:r>
      <w:proofErr w:type="spellStart"/>
      <w:r w:rsidRPr="00E93226">
        <w:rPr>
          <w:b/>
          <w:lang w:val="pl-PL"/>
        </w:rPr>
        <w:t>O;ZestAnkieta.</w:t>
      </w:r>
      <w:r>
        <w:rPr>
          <w:b/>
          <w:lang w:val="pl-PL"/>
        </w:rPr>
        <w:t>Tworca.IdString</w:t>
      </w:r>
      <w:proofErr w:type="spellEnd"/>
      <w:r w:rsidRPr="00E93226">
        <w:rPr>
          <w:b/>
          <w:lang w:val="pl-PL"/>
        </w:rPr>
        <w:t>&gt;</w:t>
      </w:r>
    </w:p>
    <w:p w14:paraId="68A1AD64" w14:textId="77777777" w:rsidR="00CD5C0E" w:rsidRPr="0039137B" w:rsidRDefault="00CD5C0E" w:rsidP="00CD5C0E">
      <w:pPr>
        <w:pStyle w:val="Textbody"/>
        <w:spacing w:after="160" w:line="252" w:lineRule="auto"/>
        <w:jc w:val="center"/>
        <w:rPr>
          <w:lang w:val="pl-PL"/>
        </w:rPr>
      </w:pPr>
      <w:r w:rsidRPr="0039137B">
        <w:rPr>
          <w:lang w:val="pl-PL"/>
        </w:rPr>
        <w:t xml:space="preserve">Podsumowanie analiz ryzyka kart transakcji notarialnych </w:t>
      </w:r>
    </w:p>
    <w:tbl>
      <w:tblPr>
        <w:tblW w:w="0" w:type="dxa"/>
        <w:tblInd w:w="55" w:type="dxa"/>
        <w:tblLayout w:type="fixed"/>
        <w:tblCellMar>
          <w:top w:w="55" w:type="dxa"/>
          <w:left w:w="55" w:type="dxa"/>
          <w:bottom w:w="55" w:type="dxa"/>
          <w:right w:w="55" w:type="dxa"/>
        </w:tblCellMar>
        <w:tblLook w:val="0000" w:firstRow="0" w:lastRow="0" w:firstColumn="0" w:lastColumn="0" w:noHBand="0" w:noVBand="0"/>
      </w:tblPr>
      <w:tblGrid>
        <w:gridCol w:w="480"/>
        <w:gridCol w:w="1275"/>
        <w:gridCol w:w="840"/>
        <w:gridCol w:w="1305"/>
        <w:gridCol w:w="1215"/>
        <w:gridCol w:w="2220"/>
        <w:gridCol w:w="2295"/>
      </w:tblGrid>
      <w:tr w:rsidR="00CD5C0E" w:rsidRPr="0039137B" w14:paraId="39D4437A" w14:textId="77777777" w:rsidTr="00AC32F8">
        <w:tc>
          <w:tcPr>
            <w:tcW w:w="480" w:type="dxa"/>
            <w:tcBorders>
              <w:top w:val="single" w:sz="2" w:space="0" w:color="000000"/>
              <w:left w:val="single" w:sz="2" w:space="0" w:color="000000"/>
              <w:bottom w:val="single" w:sz="2" w:space="0" w:color="000000"/>
              <w:right w:val="nil"/>
            </w:tcBorders>
          </w:tcPr>
          <w:p w14:paraId="1D85BE4E" w14:textId="77777777" w:rsidR="00CD5C0E" w:rsidRPr="0039137B" w:rsidRDefault="00CD5C0E" w:rsidP="00AC32F8">
            <w:pPr>
              <w:pStyle w:val="TableContents"/>
              <w:jc w:val="center"/>
              <w:rPr>
                <w:lang w:val="pl-PL"/>
              </w:rPr>
            </w:pPr>
            <w:r w:rsidRPr="0039137B">
              <w:rPr>
                <w:lang w:val="pl-PL"/>
              </w:rPr>
              <w:t>Lp.</w:t>
            </w:r>
          </w:p>
        </w:tc>
        <w:tc>
          <w:tcPr>
            <w:tcW w:w="1275" w:type="dxa"/>
            <w:tcBorders>
              <w:top w:val="single" w:sz="2" w:space="0" w:color="000000"/>
              <w:left w:val="single" w:sz="2" w:space="0" w:color="000000"/>
              <w:bottom w:val="single" w:sz="2" w:space="0" w:color="000000"/>
              <w:right w:val="nil"/>
            </w:tcBorders>
          </w:tcPr>
          <w:p w14:paraId="2EE27C2C" w14:textId="77777777" w:rsidR="00CD5C0E" w:rsidRPr="0039137B" w:rsidRDefault="00CD5C0E" w:rsidP="00AC32F8">
            <w:pPr>
              <w:pStyle w:val="TableContents"/>
              <w:jc w:val="center"/>
              <w:rPr>
                <w:lang w:val="pl-PL"/>
              </w:rPr>
            </w:pPr>
            <w:r w:rsidRPr="0039137B">
              <w:rPr>
                <w:lang w:val="pl-PL"/>
              </w:rPr>
              <w:t>Numer repertorium</w:t>
            </w:r>
          </w:p>
        </w:tc>
        <w:tc>
          <w:tcPr>
            <w:tcW w:w="840" w:type="dxa"/>
            <w:tcBorders>
              <w:top w:val="single" w:sz="2" w:space="0" w:color="000000"/>
              <w:left w:val="single" w:sz="2" w:space="0" w:color="000000"/>
              <w:bottom w:val="single" w:sz="2" w:space="0" w:color="000000"/>
              <w:right w:val="nil"/>
            </w:tcBorders>
          </w:tcPr>
          <w:p w14:paraId="41C2628D" w14:textId="77777777" w:rsidR="00CD5C0E" w:rsidRPr="0039137B" w:rsidRDefault="00CD5C0E" w:rsidP="00AC32F8">
            <w:pPr>
              <w:pStyle w:val="TableContents"/>
              <w:jc w:val="center"/>
              <w:rPr>
                <w:lang w:val="pl-PL"/>
              </w:rPr>
            </w:pPr>
            <w:r w:rsidRPr="0039137B">
              <w:rPr>
                <w:lang w:val="pl-PL"/>
              </w:rPr>
              <w:t>Numer analizy</w:t>
            </w:r>
          </w:p>
        </w:tc>
        <w:tc>
          <w:tcPr>
            <w:tcW w:w="1305" w:type="dxa"/>
            <w:tcBorders>
              <w:top w:val="single" w:sz="2" w:space="0" w:color="000000"/>
              <w:left w:val="single" w:sz="2" w:space="0" w:color="000000"/>
              <w:bottom w:val="single" w:sz="2" w:space="0" w:color="000000"/>
              <w:right w:val="nil"/>
            </w:tcBorders>
          </w:tcPr>
          <w:p w14:paraId="594B8866" w14:textId="77777777" w:rsidR="00CD5C0E" w:rsidRPr="0039137B" w:rsidRDefault="00CD5C0E" w:rsidP="00AC32F8">
            <w:pPr>
              <w:pStyle w:val="TableContents"/>
              <w:jc w:val="center"/>
              <w:rPr>
                <w:lang w:val="pl-PL"/>
              </w:rPr>
            </w:pPr>
            <w:r w:rsidRPr="0039137B">
              <w:rPr>
                <w:lang w:val="pl-PL"/>
              </w:rPr>
              <w:t>Ocena ryzyka</w:t>
            </w:r>
          </w:p>
        </w:tc>
        <w:tc>
          <w:tcPr>
            <w:tcW w:w="1215" w:type="dxa"/>
            <w:tcBorders>
              <w:top w:val="single" w:sz="2" w:space="0" w:color="000000"/>
              <w:left w:val="single" w:sz="2" w:space="0" w:color="000000"/>
              <w:bottom w:val="single" w:sz="2" w:space="0" w:color="000000"/>
              <w:right w:val="nil"/>
            </w:tcBorders>
          </w:tcPr>
          <w:p w14:paraId="41BC8E57" w14:textId="77777777" w:rsidR="00CD5C0E" w:rsidRPr="0039137B" w:rsidRDefault="00CD5C0E" w:rsidP="00AC32F8">
            <w:pPr>
              <w:pStyle w:val="TableContents"/>
              <w:jc w:val="center"/>
              <w:rPr>
                <w:lang w:val="pl-PL"/>
              </w:rPr>
            </w:pPr>
            <w:r w:rsidRPr="0039137B">
              <w:rPr>
                <w:lang w:val="pl-PL"/>
              </w:rPr>
              <w:t>Data stworzenia</w:t>
            </w:r>
          </w:p>
        </w:tc>
        <w:tc>
          <w:tcPr>
            <w:tcW w:w="2220" w:type="dxa"/>
            <w:tcBorders>
              <w:top w:val="single" w:sz="2" w:space="0" w:color="000000"/>
              <w:left w:val="single" w:sz="2" w:space="0" w:color="000000"/>
              <w:bottom w:val="single" w:sz="2" w:space="0" w:color="000000"/>
              <w:right w:val="nil"/>
            </w:tcBorders>
          </w:tcPr>
          <w:p w14:paraId="79AD7EE9" w14:textId="77777777" w:rsidR="00CD5C0E" w:rsidRPr="0039137B" w:rsidRDefault="00CD5C0E" w:rsidP="00AC32F8">
            <w:pPr>
              <w:pStyle w:val="TableContents"/>
              <w:jc w:val="center"/>
              <w:rPr>
                <w:lang w:val="pl-PL"/>
              </w:rPr>
            </w:pPr>
            <w:r w:rsidRPr="0039137B">
              <w:rPr>
                <w:lang w:val="pl-PL"/>
              </w:rPr>
              <w:t>Analiza sporządzona przez</w:t>
            </w:r>
          </w:p>
        </w:tc>
        <w:tc>
          <w:tcPr>
            <w:tcW w:w="2295" w:type="dxa"/>
            <w:tcBorders>
              <w:top w:val="single" w:sz="2" w:space="0" w:color="000000"/>
              <w:left w:val="single" w:sz="2" w:space="0" w:color="000000"/>
              <w:bottom w:val="single" w:sz="2" w:space="0" w:color="000000"/>
              <w:right w:val="single" w:sz="2" w:space="0" w:color="000000"/>
            </w:tcBorders>
          </w:tcPr>
          <w:p w14:paraId="0FEAB2A6" w14:textId="77777777" w:rsidR="00CD5C0E" w:rsidRPr="0039137B" w:rsidRDefault="00CD5C0E" w:rsidP="00AC32F8">
            <w:pPr>
              <w:pStyle w:val="TableContents"/>
              <w:jc w:val="center"/>
              <w:rPr>
                <w:lang w:val="pl-PL"/>
              </w:rPr>
            </w:pPr>
            <w:r w:rsidRPr="0039137B">
              <w:rPr>
                <w:lang w:val="pl-PL"/>
              </w:rPr>
              <w:t>Uwagi do analizy</w:t>
            </w:r>
          </w:p>
        </w:tc>
      </w:tr>
      <w:tr w:rsidR="00CD5C0E" w:rsidRPr="0039137B" w14:paraId="4EC297D7" w14:textId="77777777" w:rsidTr="00AC32F8">
        <w:tc>
          <w:tcPr>
            <w:tcW w:w="480" w:type="dxa"/>
            <w:tcBorders>
              <w:top w:val="nil"/>
              <w:left w:val="single" w:sz="2" w:space="0" w:color="000000"/>
              <w:bottom w:val="single" w:sz="2" w:space="0" w:color="000000"/>
              <w:right w:val="nil"/>
            </w:tcBorders>
          </w:tcPr>
          <w:p w14:paraId="1F2D6980" w14:textId="431A6D81" w:rsidR="00CD5C0E" w:rsidRPr="0039137B" w:rsidRDefault="009D2F14" w:rsidP="00157563">
            <w:pPr>
              <w:pStyle w:val="TableContents"/>
              <w:jc w:val="center"/>
              <w:rPr>
                <w:lang w:val="pl-PL"/>
              </w:rPr>
            </w:pPr>
            <w:r>
              <w:rPr>
                <w:lang w:val="pl-PL"/>
              </w:rPr>
              <w:t>&lt;</w:t>
            </w:r>
            <w:proofErr w:type="spellStart"/>
            <w:r w:rsidR="00CD5C0E">
              <w:rPr>
                <w:lang w:val="pl-PL"/>
              </w:rPr>
              <w:t>ON</w:t>
            </w:r>
            <w:r w:rsidR="00157563">
              <w:rPr>
                <w:lang w:val="pl-PL"/>
              </w:rPr>
              <w:t>;</w:t>
            </w:r>
            <w:r w:rsidR="00CD5C0E">
              <w:rPr>
                <w:lang w:val="pl-PL"/>
              </w:rPr>
              <w:t>Lp</w:t>
            </w:r>
            <w:proofErr w:type="spellEnd"/>
            <w:r w:rsidR="00CD5C0E">
              <w:rPr>
                <w:lang w:val="pl-PL"/>
              </w:rPr>
              <w:t>&gt;</w:t>
            </w:r>
          </w:p>
        </w:tc>
        <w:tc>
          <w:tcPr>
            <w:tcW w:w="1275" w:type="dxa"/>
            <w:tcBorders>
              <w:top w:val="nil"/>
              <w:left w:val="single" w:sz="2" w:space="0" w:color="000000"/>
              <w:bottom w:val="single" w:sz="2" w:space="0" w:color="000000"/>
              <w:right w:val="nil"/>
            </w:tcBorders>
          </w:tcPr>
          <w:p w14:paraId="2C352699" w14:textId="77777777" w:rsidR="00CD5C0E" w:rsidRPr="0039137B" w:rsidRDefault="00CD5C0E" w:rsidP="00AC32F8">
            <w:pPr>
              <w:pStyle w:val="TableContents"/>
              <w:jc w:val="center"/>
              <w:rPr>
                <w:lang w:val="pl-PL"/>
              </w:rPr>
            </w:pPr>
            <w:r w:rsidRPr="0039137B">
              <w:rPr>
                <w:lang w:val="pl-PL"/>
              </w:rPr>
              <w:t>&lt;</w:t>
            </w:r>
            <w:proofErr w:type="spellStart"/>
            <w:r>
              <w:rPr>
                <w:lang w:val="pl-PL"/>
              </w:rPr>
              <w:t>ON;XPAnkieta.</w:t>
            </w:r>
            <w:r w:rsidRPr="00E76D15">
              <w:rPr>
                <w:lang w:val="pl-PL"/>
              </w:rPr>
              <w:t>Czynnosc_NumerRepertorium</w:t>
            </w:r>
            <w:proofErr w:type="spellEnd"/>
            <w:r w:rsidRPr="0039137B">
              <w:rPr>
                <w:lang w:val="pl-PL"/>
              </w:rPr>
              <w:t>&gt;</w:t>
            </w:r>
          </w:p>
        </w:tc>
        <w:tc>
          <w:tcPr>
            <w:tcW w:w="840" w:type="dxa"/>
            <w:tcBorders>
              <w:top w:val="nil"/>
              <w:left w:val="single" w:sz="2" w:space="0" w:color="000000"/>
              <w:bottom w:val="single" w:sz="2" w:space="0" w:color="000000"/>
              <w:right w:val="nil"/>
            </w:tcBorders>
          </w:tcPr>
          <w:p w14:paraId="0E167FEC" w14:textId="77777777" w:rsidR="00CD5C0E" w:rsidRPr="0039137B" w:rsidRDefault="00CD5C0E" w:rsidP="00AC32F8">
            <w:pPr>
              <w:pStyle w:val="TableContents"/>
              <w:jc w:val="center"/>
              <w:rPr>
                <w:lang w:val="pl-PL"/>
              </w:rPr>
            </w:pPr>
            <w:r w:rsidRPr="0039137B">
              <w:rPr>
                <w:lang w:val="pl-PL"/>
              </w:rPr>
              <w:t>&lt;</w:t>
            </w:r>
            <w:proofErr w:type="spellStart"/>
            <w:r>
              <w:rPr>
                <w:lang w:val="pl-PL"/>
              </w:rPr>
              <w:t>ON;XPAnkieta.Oplata.Oid</w:t>
            </w:r>
            <w:proofErr w:type="spellEnd"/>
            <w:r w:rsidRPr="0039137B">
              <w:rPr>
                <w:lang w:val="pl-PL"/>
              </w:rPr>
              <w:t>&gt;</w:t>
            </w:r>
          </w:p>
        </w:tc>
        <w:tc>
          <w:tcPr>
            <w:tcW w:w="1305" w:type="dxa"/>
            <w:tcBorders>
              <w:top w:val="nil"/>
              <w:left w:val="single" w:sz="2" w:space="0" w:color="000000"/>
              <w:bottom w:val="single" w:sz="2" w:space="0" w:color="000000"/>
              <w:right w:val="nil"/>
            </w:tcBorders>
          </w:tcPr>
          <w:p w14:paraId="10362707" w14:textId="6081C662" w:rsidR="00CD5C0E" w:rsidRPr="0039137B" w:rsidRDefault="00CD5C0E" w:rsidP="00733D67">
            <w:pPr>
              <w:pStyle w:val="TableContents"/>
              <w:jc w:val="center"/>
              <w:rPr>
                <w:lang w:val="pl-PL"/>
              </w:rPr>
            </w:pPr>
            <w:r w:rsidRPr="0039137B">
              <w:rPr>
                <w:color w:val="FF3333"/>
                <w:lang w:val="pl-PL"/>
              </w:rPr>
              <w:t>&lt;</w:t>
            </w:r>
            <w:proofErr w:type="spellStart"/>
            <w:r w:rsidR="00733D67">
              <w:rPr>
                <w:color w:val="FF3333"/>
                <w:lang w:val="pl-PL"/>
              </w:rPr>
              <w:t>ON;XPAnkieta.O</w:t>
            </w:r>
            <w:r w:rsidRPr="0039137B">
              <w:rPr>
                <w:color w:val="FF3333"/>
                <w:lang w:val="pl-PL"/>
              </w:rPr>
              <w:t>cena</w:t>
            </w:r>
            <w:proofErr w:type="spellEnd"/>
            <w:r w:rsidRPr="0039137B">
              <w:rPr>
                <w:color w:val="FF3333"/>
                <w:lang w:val="pl-PL"/>
              </w:rPr>
              <w:t>&gt;</w:t>
            </w:r>
          </w:p>
        </w:tc>
        <w:tc>
          <w:tcPr>
            <w:tcW w:w="1215" w:type="dxa"/>
            <w:tcBorders>
              <w:top w:val="nil"/>
              <w:left w:val="single" w:sz="2" w:space="0" w:color="000000"/>
              <w:bottom w:val="single" w:sz="2" w:space="0" w:color="000000"/>
              <w:right w:val="nil"/>
            </w:tcBorders>
          </w:tcPr>
          <w:p w14:paraId="0883E40E" w14:textId="62808D4A" w:rsidR="00CD5C0E" w:rsidRPr="0039137B" w:rsidRDefault="00CD5C0E" w:rsidP="00733D67">
            <w:pPr>
              <w:pStyle w:val="TableContents"/>
              <w:jc w:val="center"/>
              <w:rPr>
                <w:lang w:val="pl-PL"/>
              </w:rPr>
            </w:pPr>
            <w:r w:rsidRPr="0039137B">
              <w:rPr>
                <w:lang w:val="pl-PL"/>
              </w:rPr>
              <w:t>&lt;</w:t>
            </w:r>
            <w:proofErr w:type="spellStart"/>
            <w:r w:rsidR="00733D67">
              <w:rPr>
                <w:lang w:val="pl-PL"/>
              </w:rPr>
              <w:t>ON;XPAnkieta.Data</w:t>
            </w:r>
            <w:r w:rsidR="00B41447">
              <w:rPr>
                <w:lang w:val="pl-PL"/>
              </w:rPr>
              <w:t>Zlozenia</w:t>
            </w:r>
            <w:proofErr w:type="spellEnd"/>
            <w:r w:rsidRPr="0039137B">
              <w:rPr>
                <w:lang w:val="pl-PL"/>
              </w:rPr>
              <w:t>&gt;</w:t>
            </w:r>
          </w:p>
        </w:tc>
        <w:tc>
          <w:tcPr>
            <w:tcW w:w="2220" w:type="dxa"/>
            <w:tcBorders>
              <w:top w:val="nil"/>
              <w:left w:val="single" w:sz="2" w:space="0" w:color="000000"/>
              <w:bottom w:val="single" w:sz="2" w:space="0" w:color="000000"/>
              <w:right w:val="nil"/>
            </w:tcBorders>
          </w:tcPr>
          <w:p w14:paraId="46D09C84" w14:textId="45E22B88" w:rsidR="00CD5C0E" w:rsidRPr="0039137B" w:rsidRDefault="00CD5C0E" w:rsidP="00733D67">
            <w:pPr>
              <w:pStyle w:val="TableContents"/>
              <w:jc w:val="center"/>
              <w:rPr>
                <w:lang w:val="pl-PL"/>
              </w:rPr>
            </w:pPr>
            <w:r w:rsidRPr="0039137B">
              <w:rPr>
                <w:lang w:val="pl-PL"/>
              </w:rPr>
              <w:t>&lt;</w:t>
            </w:r>
            <w:proofErr w:type="spellStart"/>
            <w:r w:rsidR="00733D67">
              <w:rPr>
                <w:lang w:val="pl-PL"/>
              </w:rPr>
              <w:t>ON;XPAnkieta.</w:t>
            </w:r>
            <w:r w:rsidR="00733D67" w:rsidRPr="00733D67">
              <w:rPr>
                <w:lang w:val="pl-PL"/>
              </w:rPr>
              <w:t>Uslugodawca_Imie</w:t>
            </w:r>
            <w:proofErr w:type="spellEnd"/>
            <w:r w:rsidRPr="0039137B">
              <w:rPr>
                <w:lang w:val="pl-PL"/>
              </w:rPr>
              <w:t>&gt;</w:t>
            </w:r>
          </w:p>
        </w:tc>
        <w:tc>
          <w:tcPr>
            <w:tcW w:w="2295" w:type="dxa"/>
            <w:tcBorders>
              <w:top w:val="nil"/>
              <w:left w:val="single" w:sz="2" w:space="0" w:color="000000"/>
              <w:bottom w:val="single" w:sz="2" w:space="0" w:color="000000"/>
              <w:right w:val="single" w:sz="2" w:space="0" w:color="000000"/>
            </w:tcBorders>
          </w:tcPr>
          <w:p w14:paraId="4C114CF8" w14:textId="5DF6C47F" w:rsidR="00CD5C0E" w:rsidRPr="0039137B" w:rsidRDefault="00733D67" w:rsidP="009D2F14">
            <w:pPr>
              <w:pStyle w:val="TableContents"/>
              <w:jc w:val="center"/>
              <w:rPr>
                <w:lang w:val="pl-PL"/>
              </w:rPr>
            </w:pPr>
            <w:r w:rsidRPr="0039137B">
              <w:rPr>
                <w:lang w:val="pl-PL"/>
              </w:rPr>
              <w:t>&lt;</w:t>
            </w:r>
            <w:proofErr w:type="spellStart"/>
            <w:r>
              <w:rPr>
                <w:lang w:val="pl-PL"/>
              </w:rPr>
              <w:t>ON;XPAnkieta.Uwagi</w:t>
            </w:r>
            <w:proofErr w:type="spellEnd"/>
            <w:r w:rsidRPr="0039137B">
              <w:rPr>
                <w:lang w:val="pl-PL"/>
              </w:rPr>
              <w:t>&gt;</w:t>
            </w:r>
            <w:r w:rsidR="009D2F14" w:rsidRPr="0039137B">
              <w:rPr>
                <w:lang w:val="pl-PL"/>
              </w:rPr>
              <w:t>&lt;</w:t>
            </w:r>
            <w:proofErr w:type="spellStart"/>
            <w:r w:rsidR="009D2F14">
              <w:rPr>
                <w:lang w:val="pl-PL"/>
              </w:rPr>
              <w:t>OR;ZestAnkieta.Ankiety</w:t>
            </w:r>
            <w:proofErr w:type="spellEnd"/>
            <w:r w:rsidR="009D2F14" w:rsidRPr="0039137B">
              <w:rPr>
                <w:lang w:val="pl-PL"/>
              </w:rPr>
              <w:t>&gt;</w:t>
            </w:r>
          </w:p>
        </w:tc>
      </w:tr>
    </w:tbl>
    <w:p w14:paraId="1A47F377" w14:textId="77777777" w:rsidR="00CD5C0E" w:rsidRPr="0039137B" w:rsidRDefault="00CD5C0E" w:rsidP="00CD5C0E">
      <w:pPr>
        <w:pStyle w:val="Textbody"/>
        <w:spacing w:after="160" w:line="252" w:lineRule="auto"/>
        <w:rPr>
          <w:lang w:val="pl-PL"/>
        </w:rPr>
      </w:pPr>
    </w:p>
    <w:p w14:paraId="5553E655" w14:textId="77777777" w:rsidR="00CD5C0E" w:rsidRPr="0039137B" w:rsidRDefault="00CD5C0E" w:rsidP="00CD5C0E">
      <w:pPr>
        <w:pStyle w:val="Textbody"/>
        <w:pageBreakBefore/>
        <w:rPr>
          <w:lang w:val="pl-PL"/>
        </w:rPr>
      </w:pPr>
      <w:r w:rsidRPr="0039137B">
        <w:rPr>
          <w:i/>
          <w:u w:val="single"/>
          <w:lang w:val="pl-PL"/>
        </w:rPr>
        <w:lastRenderedPageBreak/>
        <w:t>Załącznik nr 1b</w:t>
      </w:r>
    </w:p>
    <w:p w14:paraId="0EB83D5F" w14:textId="77777777" w:rsidR="00CD5C0E" w:rsidRPr="0039137B" w:rsidRDefault="00CD5C0E" w:rsidP="00CD5C0E">
      <w:pPr>
        <w:pStyle w:val="Textbody"/>
        <w:jc w:val="both"/>
        <w:rPr>
          <w:lang w:val="pl-PL"/>
        </w:rPr>
      </w:pPr>
      <w:r w:rsidRPr="0039137B">
        <w:rPr>
          <w:i/>
          <w:lang w:val="pl-PL"/>
        </w:rPr>
        <w:t>Do procedury wewnętrznej</w:t>
      </w:r>
    </w:p>
    <w:p w14:paraId="4D172DF8" w14:textId="77777777" w:rsidR="00CD5C0E" w:rsidRPr="0039137B" w:rsidRDefault="00CD5C0E" w:rsidP="00CD5C0E">
      <w:pPr>
        <w:pStyle w:val="Textbody"/>
        <w:jc w:val="both"/>
        <w:rPr>
          <w:lang w:val="pl-PL"/>
        </w:rPr>
      </w:pPr>
      <w:r w:rsidRPr="0039137B">
        <w:rPr>
          <w:i/>
          <w:lang w:val="pl-PL"/>
        </w:rPr>
        <w:t xml:space="preserve">w zakresie przeciwdziałania praniu pieniędzy </w:t>
      </w:r>
    </w:p>
    <w:p w14:paraId="0D4B4F60" w14:textId="77777777" w:rsidR="00CD5C0E" w:rsidRPr="0039137B" w:rsidRDefault="00CD5C0E" w:rsidP="00CD5C0E">
      <w:pPr>
        <w:pStyle w:val="Textbody"/>
        <w:jc w:val="both"/>
        <w:rPr>
          <w:lang w:val="pl-PL"/>
        </w:rPr>
      </w:pPr>
      <w:r w:rsidRPr="0039137B">
        <w:rPr>
          <w:i/>
          <w:lang w:val="pl-PL"/>
        </w:rPr>
        <w:t>oraz finansowaniu terroryzmu</w:t>
      </w:r>
    </w:p>
    <w:p w14:paraId="1D30C5E8" w14:textId="77777777" w:rsidR="00CD5C0E" w:rsidRPr="0039137B" w:rsidRDefault="00CD5C0E" w:rsidP="00CD5C0E">
      <w:pPr>
        <w:pStyle w:val="Textbody"/>
        <w:jc w:val="center"/>
        <w:rPr>
          <w:lang w:val="pl-PL"/>
        </w:rPr>
      </w:pPr>
    </w:p>
    <w:tbl>
      <w:tblPr>
        <w:tblW w:w="9645" w:type="dxa"/>
        <w:tblInd w:w="55" w:type="dxa"/>
        <w:tblLayout w:type="fixed"/>
        <w:tblCellMar>
          <w:top w:w="55" w:type="dxa"/>
          <w:left w:w="55" w:type="dxa"/>
          <w:bottom w:w="55" w:type="dxa"/>
          <w:right w:w="55" w:type="dxa"/>
        </w:tblCellMar>
        <w:tblLook w:val="0000" w:firstRow="0" w:lastRow="0" w:firstColumn="0" w:lastColumn="0" w:noHBand="0" w:noVBand="0"/>
      </w:tblPr>
      <w:tblGrid>
        <w:gridCol w:w="9012"/>
        <w:gridCol w:w="633"/>
      </w:tblGrid>
      <w:tr w:rsidR="00CD5C0E" w:rsidRPr="0039137B" w14:paraId="71490F91" w14:textId="77777777" w:rsidTr="00AC32F8">
        <w:tc>
          <w:tcPr>
            <w:tcW w:w="9645" w:type="dxa"/>
            <w:gridSpan w:val="2"/>
            <w:tcBorders>
              <w:top w:val="single" w:sz="4" w:space="0" w:color="auto"/>
              <w:left w:val="single" w:sz="4" w:space="0" w:color="auto"/>
              <w:right w:val="single" w:sz="4" w:space="0" w:color="auto"/>
            </w:tcBorders>
          </w:tcPr>
          <w:p w14:paraId="73251950" w14:textId="33677AB8" w:rsidR="00CD5C0E" w:rsidRPr="0039137B" w:rsidRDefault="005A7778" w:rsidP="005A7778">
            <w:pPr>
              <w:pStyle w:val="TableContents"/>
              <w:jc w:val="center"/>
              <w:rPr>
                <w:b/>
                <w:u w:val="single"/>
                <w:lang w:val="pl-PL"/>
              </w:rPr>
            </w:pPr>
            <w:r w:rsidRPr="005A7778">
              <w:rPr>
                <w:lang w:val="pl-PL"/>
              </w:rPr>
              <w:t>TABELA OCENY ROZPOZNANEGO RYZYKA ZWIĄZANEGO Z TRANSAKCJĄ</w:t>
            </w:r>
            <w:r>
              <w:rPr>
                <w:b/>
                <w:u w:val="single"/>
                <w:lang w:val="pl-PL"/>
              </w:rPr>
              <w:t>&lt;OT;ZestAnkieta.Ankiety&gt;</w:t>
            </w:r>
          </w:p>
        </w:tc>
      </w:tr>
      <w:tr w:rsidR="00CD5C0E" w:rsidRPr="0039137B" w14:paraId="2D881426" w14:textId="77777777" w:rsidTr="00AC32F8">
        <w:tc>
          <w:tcPr>
            <w:tcW w:w="9645" w:type="dxa"/>
            <w:gridSpan w:val="2"/>
            <w:tcBorders>
              <w:left w:val="single" w:sz="4" w:space="0" w:color="auto"/>
              <w:bottom w:val="single" w:sz="4" w:space="0" w:color="auto"/>
              <w:right w:val="single" w:sz="4" w:space="0" w:color="auto"/>
            </w:tcBorders>
          </w:tcPr>
          <w:p w14:paraId="1AE7111C" w14:textId="77777777" w:rsidR="00CD5C0E" w:rsidRPr="0039137B" w:rsidRDefault="00CD5C0E" w:rsidP="00AC32F8">
            <w:pPr>
              <w:pStyle w:val="TableContents"/>
              <w:jc w:val="center"/>
              <w:rPr>
                <w:b/>
                <w:u w:val="single"/>
                <w:lang w:val="pl-PL"/>
              </w:rPr>
            </w:pPr>
            <w:r w:rsidRPr="0039137B">
              <w:rPr>
                <w:b/>
                <w:lang w:val="pl-PL"/>
              </w:rPr>
              <w:t>DLA NUMERU REPERTORIUM &lt;</w:t>
            </w:r>
            <w:proofErr w:type="spellStart"/>
            <w:r>
              <w:rPr>
                <w:b/>
                <w:lang w:val="pl-PL"/>
              </w:rPr>
              <w:t>ON;XPankieta.</w:t>
            </w:r>
            <w:r w:rsidRPr="006A1B9C">
              <w:rPr>
                <w:b/>
                <w:lang w:val="pl-PL"/>
              </w:rPr>
              <w:t>Czynnosc_NumerRepertorium</w:t>
            </w:r>
            <w:proofErr w:type="spellEnd"/>
            <w:r w:rsidRPr="0039137B">
              <w:rPr>
                <w:b/>
                <w:lang w:val="pl-PL"/>
              </w:rPr>
              <w:t>&gt;</w:t>
            </w:r>
          </w:p>
        </w:tc>
      </w:tr>
      <w:tr w:rsidR="00CD5C0E" w:rsidRPr="0039137B" w14:paraId="712F8CE5" w14:textId="77777777" w:rsidTr="004F68B7">
        <w:tc>
          <w:tcPr>
            <w:tcW w:w="9012" w:type="dxa"/>
            <w:tcBorders>
              <w:top w:val="single" w:sz="4" w:space="0" w:color="auto"/>
              <w:left w:val="single" w:sz="2" w:space="0" w:color="000000"/>
              <w:bottom w:val="single" w:sz="4" w:space="0" w:color="auto"/>
              <w:right w:val="nil"/>
            </w:tcBorders>
          </w:tcPr>
          <w:p w14:paraId="5879B964" w14:textId="77777777" w:rsidR="00CD5C0E" w:rsidRPr="0039137B" w:rsidRDefault="00CD5C0E" w:rsidP="00AC32F8">
            <w:pPr>
              <w:pStyle w:val="TableContents"/>
              <w:rPr>
                <w:lang w:val="pl-PL"/>
              </w:rPr>
            </w:pPr>
            <w:r w:rsidRPr="0039137B">
              <w:rPr>
                <w:b/>
                <w:u w:val="single"/>
                <w:lang w:val="pl-PL"/>
              </w:rPr>
              <w:t>Poziom ryzyka podwyższają (wartość +1za każdy z czynników):</w:t>
            </w:r>
          </w:p>
        </w:tc>
        <w:tc>
          <w:tcPr>
            <w:tcW w:w="633" w:type="dxa"/>
            <w:tcBorders>
              <w:top w:val="single" w:sz="4" w:space="0" w:color="auto"/>
              <w:left w:val="single" w:sz="2" w:space="0" w:color="000000"/>
              <w:bottom w:val="single" w:sz="4" w:space="0" w:color="auto"/>
              <w:right w:val="single" w:sz="2" w:space="0" w:color="000000"/>
            </w:tcBorders>
          </w:tcPr>
          <w:p w14:paraId="50CA0506" w14:textId="02CDE9C7" w:rsidR="00CD5C0E" w:rsidRPr="0039137B" w:rsidRDefault="00CD5C0E" w:rsidP="004F68B7">
            <w:pPr>
              <w:pStyle w:val="TableContents"/>
              <w:jc w:val="center"/>
              <w:rPr>
                <w:lang w:val="pl-PL"/>
              </w:rPr>
            </w:pPr>
            <w:bookmarkStart w:id="1" w:name="__DdeLink__0_541963680"/>
            <w:bookmarkEnd w:id="1"/>
            <w:r w:rsidRPr="0039137B">
              <w:rPr>
                <w:b/>
                <w:u w:val="single"/>
                <w:lang w:val="pl-PL"/>
              </w:rPr>
              <w:t>x</w:t>
            </w:r>
          </w:p>
        </w:tc>
      </w:tr>
      <w:tr w:rsidR="00CD5C0E" w:rsidRPr="0039137B" w14:paraId="43239D6B" w14:textId="77777777" w:rsidTr="004F68B7">
        <w:tc>
          <w:tcPr>
            <w:tcW w:w="9012" w:type="dxa"/>
            <w:tcBorders>
              <w:top w:val="single" w:sz="4" w:space="0" w:color="auto"/>
              <w:left w:val="single" w:sz="4" w:space="0" w:color="auto"/>
              <w:bottom w:val="single" w:sz="4" w:space="0" w:color="auto"/>
              <w:right w:val="single" w:sz="4" w:space="0" w:color="auto"/>
            </w:tcBorders>
          </w:tcPr>
          <w:p w14:paraId="483D259A" w14:textId="107CACC4" w:rsidR="00CD5C0E" w:rsidRPr="0039137B" w:rsidRDefault="00CD5C0E" w:rsidP="002A7E58">
            <w:pPr>
              <w:pStyle w:val="TableContents"/>
              <w:rPr>
                <w:lang w:val="pl-PL"/>
              </w:rPr>
            </w:pPr>
            <w:r w:rsidRPr="0039137B">
              <w:rPr>
                <w:lang w:val="pl-PL"/>
              </w:rPr>
              <w:t>&lt;</w:t>
            </w:r>
            <w:r>
              <w:rPr>
                <w:lang w:val="pl-PL"/>
              </w:rPr>
              <w:t>OR;XPAnkieta.OdpowiedziP</w:t>
            </w:r>
            <w:r w:rsidR="004B05FC">
              <w:rPr>
                <w:lang w:val="pl-PL"/>
              </w:rPr>
              <w:t>W</w:t>
            </w:r>
            <w:r>
              <w:rPr>
                <w:lang w:val="pl-PL"/>
              </w:rPr>
              <w:t>&gt;&lt;ON</w:t>
            </w:r>
            <w:r w:rsidR="002A7E58">
              <w:rPr>
                <w:lang w:val="pl-PL"/>
              </w:rPr>
              <w:t>;</w:t>
            </w:r>
            <w:r w:rsidR="000E00F1">
              <w:rPr>
                <w:lang w:val="pl-PL"/>
              </w:rPr>
              <w:t>XPAnkietaOdpowiedz</w:t>
            </w:r>
            <w:r>
              <w:rPr>
                <w:lang w:val="pl-PL"/>
              </w:rPr>
              <w:t>.Pytanie</w:t>
            </w:r>
            <w:r w:rsidR="000E00F1">
              <w:rPr>
                <w:lang w:val="pl-PL"/>
              </w:rPr>
              <w:t>.Pytanie</w:t>
            </w:r>
            <w:r w:rsidRPr="0039137B">
              <w:rPr>
                <w:lang w:val="pl-PL"/>
              </w:rPr>
              <w:t>&gt;</w:t>
            </w:r>
          </w:p>
        </w:tc>
        <w:tc>
          <w:tcPr>
            <w:tcW w:w="633" w:type="dxa"/>
            <w:tcBorders>
              <w:top w:val="single" w:sz="4" w:space="0" w:color="auto"/>
              <w:left w:val="single" w:sz="4" w:space="0" w:color="auto"/>
              <w:bottom w:val="single" w:sz="4" w:space="0" w:color="auto"/>
              <w:right w:val="single" w:sz="4" w:space="0" w:color="auto"/>
            </w:tcBorders>
          </w:tcPr>
          <w:p w14:paraId="6CD85AE3" w14:textId="3D5ABC53" w:rsidR="00CD5C0E" w:rsidRPr="0039137B" w:rsidRDefault="00CD5C0E" w:rsidP="002A7E58">
            <w:pPr>
              <w:pStyle w:val="TableContents"/>
              <w:jc w:val="center"/>
              <w:rPr>
                <w:lang w:val="pl-PL"/>
              </w:rPr>
            </w:pPr>
            <w:r w:rsidRPr="0039137B">
              <w:rPr>
                <w:lang w:val="pl-PL"/>
              </w:rPr>
              <w:t>&lt;</w:t>
            </w:r>
            <w:proofErr w:type="spellStart"/>
            <w:r>
              <w:rPr>
                <w:lang w:val="pl-PL"/>
              </w:rPr>
              <w:t>ON;</w:t>
            </w:r>
            <w:r w:rsidR="00897BB1">
              <w:rPr>
                <w:lang w:val="pl-PL"/>
              </w:rPr>
              <w:t>XPAnkietaOdpowiedz</w:t>
            </w:r>
            <w:r>
              <w:rPr>
                <w:lang w:val="pl-PL"/>
              </w:rPr>
              <w:t>.OdpowiedzX</w:t>
            </w:r>
            <w:proofErr w:type="spellEnd"/>
            <w:r w:rsidRPr="0039137B">
              <w:rPr>
                <w:lang w:val="pl-PL"/>
              </w:rPr>
              <w:t>&gt;</w:t>
            </w:r>
          </w:p>
        </w:tc>
      </w:tr>
      <w:tr w:rsidR="00CD5C0E" w:rsidRPr="0039137B" w14:paraId="249DA464" w14:textId="77777777" w:rsidTr="004F68B7">
        <w:tc>
          <w:tcPr>
            <w:tcW w:w="9012" w:type="dxa"/>
            <w:tcBorders>
              <w:top w:val="single" w:sz="4" w:space="0" w:color="auto"/>
              <w:left w:val="single" w:sz="4" w:space="0" w:color="auto"/>
              <w:bottom w:val="single" w:sz="4" w:space="0" w:color="auto"/>
              <w:right w:val="single" w:sz="4" w:space="0" w:color="auto"/>
            </w:tcBorders>
          </w:tcPr>
          <w:p w14:paraId="485ADB87" w14:textId="77777777" w:rsidR="00CD5C0E" w:rsidRPr="0039137B" w:rsidRDefault="00CD5C0E" w:rsidP="00AC32F8">
            <w:pPr>
              <w:pStyle w:val="TableContents"/>
              <w:rPr>
                <w:lang w:val="pl-PL"/>
              </w:rPr>
            </w:pPr>
            <w:r w:rsidRPr="0039137B">
              <w:rPr>
                <w:b/>
                <w:u w:val="single"/>
                <w:lang w:val="pl-PL"/>
              </w:rPr>
              <w:t xml:space="preserve">Poziom ryzyka obniżają (wartość -1 za </w:t>
            </w:r>
            <w:proofErr w:type="spellStart"/>
            <w:r w:rsidRPr="0039137B">
              <w:rPr>
                <w:b/>
                <w:u w:val="single"/>
                <w:lang w:val="pl-PL"/>
              </w:rPr>
              <w:t>kążdy</w:t>
            </w:r>
            <w:proofErr w:type="spellEnd"/>
            <w:r w:rsidRPr="0039137B">
              <w:rPr>
                <w:b/>
                <w:u w:val="single"/>
                <w:lang w:val="pl-PL"/>
              </w:rPr>
              <w:t xml:space="preserve"> z czynników):</w:t>
            </w:r>
          </w:p>
        </w:tc>
        <w:tc>
          <w:tcPr>
            <w:tcW w:w="633" w:type="dxa"/>
            <w:tcBorders>
              <w:top w:val="single" w:sz="4" w:space="0" w:color="auto"/>
              <w:left w:val="single" w:sz="4" w:space="0" w:color="auto"/>
              <w:bottom w:val="single" w:sz="4" w:space="0" w:color="auto"/>
              <w:right w:val="single" w:sz="4" w:space="0" w:color="auto"/>
            </w:tcBorders>
          </w:tcPr>
          <w:p w14:paraId="60A492B9" w14:textId="308E369C" w:rsidR="00CD5C0E" w:rsidRPr="0039137B" w:rsidRDefault="004F68B7" w:rsidP="004F68B7">
            <w:pPr>
              <w:pStyle w:val="TableContents"/>
              <w:jc w:val="center"/>
              <w:rPr>
                <w:lang w:val="pl-PL"/>
              </w:rPr>
            </w:pPr>
            <w:r>
              <w:rPr>
                <w:b/>
                <w:u w:val="single"/>
                <w:lang w:val="pl-PL"/>
              </w:rPr>
              <w:t>x</w:t>
            </w:r>
          </w:p>
        </w:tc>
      </w:tr>
      <w:tr w:rsidR="00CD5C0E" w:rsidRPr="0039137B" w14:paraId="740D60B4" w14:textId="77777777" w:rsidTr="004F68B7">
        <w:tc>
          <w:tcPr>
            <w:tcW w:w="9012" w:type="dxa"/>
            <w:tcBorders>
              <w:top w:val="single" w:sz="4" w:space="0" w:color="auto"/>
              <w:left w:val="single" w:sz="4" w:space="0" w:color="auto"/>
              <w:bottom w:val="single" w:sz="4" w:space="0" w:color="auto"/>
              <w:right w:val="single" w:sz="4" w:space="0" w:color="auto"/>
            </w:tcBorders>
          </w:tcPr>
          <w:p w14:paraId="4EB85A5B" w14:textId="4FA1E28A" w:rsidR="00CD5C0E" w:rsidRPr="0039137B" w:rsidRDefault="00CD5C0E" w:rsidP="000E00F1">
            <w:pPr>
              <w:pStyle w:val="TableContents"/>
              <w:rPr>
                <w:lang w:val="pl-PL"/>
              </w:rPr>
            </w:pPr>
            <w:r w:rsidRPr="0039137B">
              <w:rPr>
                <w:lang w:val="pl-PL"/>
              </w:rPr>
              <w:t>&lt;</w:t>
            </w:r>
            <w:r>
              <w:rPr>
                <w:lang w:val="pl-PL"/>
              </w:rPr>
              <w:t>OR;XPAnkieta.Odpowiedzi</w:t>
            </w:r>
            <w:r w:rsidR="00BD0CFA">
              <w:rPr>
                <w:lang w:val="pl-PL"/>
              </w:rPr>
              <w:t>O</w:t>
            </w:r>
            <w:r w:rsidR="004B05FC">
              <w:rPr>
                <w:lang w:val="pl-PL"/>
              </w:rPr>
              <w:t>W</w:t>
            </w:r>
            <w:r w:rsidRPr="0039137B">
              <w:rPr>
                <w:lang w:val="pl-PL"/>
              </w:rPr>
              <w:t>&gt;</w:t>
            </w:r>
            <w:r w:rsidR="00A037BE">
              <w:rPr>
                <w:lang w:val="pl-PL"/>
              </w:rPr>
              <w:t>&lt;ON;XP</w:t>
            </w:r>
            <w:r w:rsidR="000E00F1">
              <w:rPr>
                <w:lang w:val="pl-PL"/>
              </w:rPr>
              <w:t>Ankieta</w:t>
            </w:r>
            <w:r w:rsidR="00A037BE">
              <w:rPr>
                <w:lang w:val="pl-PL"/>
              </w:rPr>
              <w:t>Odpowiedz.Pytanie</w:t>
            </w:r>
            <w:r w:rsidR="000E00F1">
              <w:rPr>
                <w:lang w:val="pl-PL"/>
              </w:rPr>
              <w:t>.</w:t>
            </w:r>
            <w:r w:rsidR="000E00F1" w:rsidRPr="000E00F1">
              <w:rPr>
                <w:lang w:val="pl-PL"/>
              </w:rPr>
              <w:t>Pytanie</w:t>
            </w:r>
            <w:r w:rsidR="00A037BE">
              <w:rPr>
                <w:lang w:val="pl-PL"/>
              </w:rPr>
              <w:t>&gt;</w:t>
            </w:r>
          </w:p>
        </w:tc>
        <w:tc>
          <w:tcPr>
            <w:tcW w:w="633" w:type="dxa"/>
            <w:tcBorders>
              <w:top w:val="single" w:sz="4" w:space="0" w:color="auto"/>
              <w:left w:val="single" w:sz="4" w:space="0" w:color="auto"/>
              <w:bottom w:val="single" w:sz="4" w:space="0" w:color="auto"/>
              <w:right w:val="single" w:sz="4" w:space="0" w:color="auto"/>
            </w:tcBorders>
          </w:tcPr>
          <w:p w14:paraId="116F4095" w14:textId="7EBCF3F4" w:rsidR="00CD5C0E" w:rsidRPr="0039137B" w:rsidRDefault="00CD5C0E" w:rsidP="0060303A">
            <w:pPr>
              <w:pStyle w:val="TableContents"/>
              <w:jc w:val="center"/>
              <w:rPr>
                <w:lang w:val="pl-PL"/>
              </w:rPr>
            </w:pPr>
            <w:r w:rsidRPr="0039137B">
              <w:rPr>
                <w:lang w:val="pl-PL"/>
              </w:rPr>
              <w:t>&lt;</w:t>
            </w:r>
            <w:proofErr w:type="spellStart"/>
            <w:r>
              <w:rPr>
                <w:lang w:val="pl-PL"/>
              </w:rPr>
              <w:t>O</w:t>
            </w:r>
            <w:r w:rsidR="0060303A">
              <w:rPr>
                <w:lang w:val="pl-PL"/>
              </w:rPr>
              <w:t>N</w:t>
            </w:r>
            <w:r>
              <w:rPr>
                <w:lang w:val="pl-PL"/>
              </w:rPr>
              <w:t>;</w:t>
            </w:r>
            <w:r w:rsidR="00897BB1">
              <w:rPr>
                <w:lang w:val="pl-PL"/>
              </w:rPr>
              <w:t>XPAnkietaOdpowiedz</w:t>
            </w:r>
            <w:r>
              <w:rPr>
                <w:lang w:val="pl-PL"/>
              </w:rPr>
              <w:t>.OdpowiedzX</w:t>
            </w:r>
            <w:proofErr w:type="spellEnd"/>
            <w:r w:rsidRPr="0039137B">
              <w:rPr>
                <w:lang w:val="pl-PL"/>
              </w:rPr>
              <w:t>&gt;</w:t>
            </w:r>
          </w:p>
        </w:tc>
      </w:tr>
      <w:tr w:rsidR="00CD5C0E" w:rsidRPr="0039137B" w14:paraId="03E8C606" w14:textId="77777777" w:rsidTr="00AC32F8">
        <w:tc>
          <w:tcPr>
            <w:tcW w:w="9645" w:type="dxa"/>
            <w:gridSpan w:val="2"/>
            <w:tcBorders>
              <w:top w:val="single" w:sz="4" w:space="0" w:color="auto"/>
              <w:left w:val="single" w:sz="4" w:space="0" w:color="auto"/>
              <w:bottom w:val="single" w:sz="4" w:space="0" w:color="auto"/>
              <w:right w:val="single" w:sz="4" w:space="0" w:color="auto"/>
            </w:tcBorders>
          </w:tcPr>
          <w:p w14:paraId="4043CBA8" w14:textId="77777777" w:rsidR="00CD5C0E" w:rsidRPr="0039137B" w:rsidRDefault="00CD5C0E" w:rsidP="00AC32F8">
            <w:pPr>
              <w:pStyle w:val="Domynie"/>
              <w:ind w:firstLine="41"/>
              <w:rPr>
                <w:lang w:val="pl-PL"/>
              </w:rPr>
            </w:pPr>
            <w:r w:rsidRPr="0039137B">
              <w:rPr>
                <w:b/>
                <w:color w:val="FF3333"/>
                <w:sz w:val="22"/>
                <w:u w:val="double"/>
                <w:lang w:val="pl-PL"/>
              </w:rPr>
              <w:t>Ocena rozpoznanego ryzyka transakcji.</w:t>
            </w:r>
            <w:r w:rsidRPr="0039137B">
              <w:rPr>
                <w:color w:val="FF3333"/>
                <w:sz w:val="22"/>
                <w:lang w:val="pl-PL"/>
              </w:rPr>
              <w:t xml:space="preserve">  </w:t>
            </w:r>
            <w:r w:rsidRPr="0039137B">
              <w:rPr>
                <w:b/>
                <w:color w:val="FF3333"/>
                <w:sz w:val="22"/>
                <w:lang w:val="pl-PL"/>
              </w:rPr>
              <w:t>&lt;</w:t>
            </w:r>
            <w:proofErr w:type="spellStart"/>
            <w:r>
              <w:rPr>
                <w:b/>
                <w:color w:val="FF3333"/>
                <w:sz w:val="22"/>
                <w:lang w:val="pl-PL"/>
              </w:rPr>
              <w:t>ON;XPankieta.Ocena</w:t>
            </w:r>
            <w:proofErr w:type="spellEnd"/>
            <w:r w:rsidRPr="0039137B">
              <w:rPr>
                <w:b/>
                <w:color w:val="FF3333"/>
                <w:sz w:val="22"/>
                <w:lang w:val="pl-PL"/>
              </w:rPr>
              <w:t>&gt;</w:t>
            </w:r>
          </w:p>
        </w:tc>
      </w:tr>
    </w:tbl>
    <w:p w14:paraId="14018D6E" w14:textId="77777777" w:rsidR="00CD5C0E" w:rsidRDefault="00CD5C0E" w:rsidP="00CD5C0E">
      <w:pPr>
        <w:pStyle w:val="Domynie"/>
        <w:ind w:firstLine="41"/>
        <w:rPr>
          <w:lang w:val="pl-PL"/>
        </w:rPr>
      </w:pPr>
    </w:p>
    <w:p w14:paraId="1A9B5FBF" w14:textId="77777777" w:rsidR="00CD5C0E" w:rsidRDefault="00CD5C0E" w:rsidP="00CD5C0E">
      <w:pPr>
        <w:pStyle w:val="Domynie"/>
        <w:ind w:firstLine="41"/>
        <w:rPr>
          <w:lang w:val="pl-PL"/>
        </w:rPr>
      </w:pPr>
    </w:p>
    <w:p w14:paraId="55B4F15C" w14:textId="507F3E92" w:rsidR="00CD5C0E" w:rsidRPr="0039137B" w:rsidRDefault="00CD5C0E" w:rsidP="00CD5C0E">
      <w:pPr>
        <w:pStyle w:val="WW-Domylnie11"/>
      </w:pPr>
      <w:r w:rsidRPr="0039137B">
        <w:rPr>
          <w:sz w:val="16"/>
        </w:rPr>
        <w:t>&lt;Notaris</w:t>
      </w:r>
      <w:r w:rsidR="00F32E61">
        <w:rPr>
          <w:sz w:val="16"/>
        </w:rPr>
        <w:t>.Versja</w:t>
      </w:r>
      <w:bookmarkStart w:id="2" w:name="_GoBack"/>
      <w:bookmarkEnd w:id="2"/>
      <w:r w:rsidRPr="0039137B">
        <w:rPr>
          <w:sz w:val="16"/>
        </w:rPr>
        <w:t>&gt;</w:t>
      </w:r>
    </w:p>
    <w:p w14:paraId="199C417F" w14:textId="77777777" w:rsidR="00CD5C0E" w:rsidRPr="0039137B" w:rsidRDefault="00CD5C0E" w:rsidP="00CD5C0E">
      <w:pPr>
        <w:pStyle w:val="WW-Domylnie11"/>
      </w:pPr>
      <w:r w:rsidRPr="0039137B">
        <w:rPr>
          <w:sz w:val="16"/>
        </w:rPr>
        <w:t>plik: notaris-ankieta-podsumowanie.</w:t>
      </w:r>
      <w:r>
        <w:rPr>
          <w:sz w:val="16"/>
        </w:rPr>
        <w:t>docx</w:t>
      </w:r>
    </w:p>
    <w:p w14:paraId="1A896E45" w14:textId="77777777" w:rsidR="00CD5C0E" w:rsidRPr="0039137B" w:rsidRDefault="00704293" w:rsidP="00CD5C0E">
      <w:pPr>
        <w:pStyle w:val="WW-Domylnie11"/>
      </w:pPr>
      <w:hyperlink r:id="rId14" w:history="1">
        <w:r w:rsidR="00CD5C0E" w:rsidRPr="0039137B">
          <w:rPr>
            <w:color w:val="000080"/>
            <w:sz w:val="16"/>
            <w:u w:val="single"/>
          </w:rPr>
          <w:t>http://www.notaris.pl</w:t>
        </w:r>
      </w:hyperlink>
      <w:r w:rsidR="00CD5C0E" w:rsidRPr="0039137B">
        <w:t xml:space="preserve"> </w:t>
      </w:r>
    </w:p>
    <w:p w14:paraId="25580B55" w14:textId="77777777" w:rsidR="00CD5C0E" w:rsidRPr="0039137B" w:rsidRDefault="00CD5C0E" w:rsidP="00CD5C0E">
      <w:pPr>
        <w:pStyle w:val="Domynie"/>
        <w:rPr>
          <w:lang w:val="pl-PL"/>
        </w:rPr>
      </w:pPr>
    </w:p>
    <w:p w14:paraId="26DD0A0C" w14:textId="77777777" w:rsidR="00461CB9" w:rsidRPr="00CD5C0E" w:rsidRDefault="00461CB9" w:rsidP="00CD5C0E"/>
    <w:sectPr w:rsidR="00461CB9" w:rsidRPr="00CD5C0E" w:rsidSect="00E16396">
      <w:headerReference w:type="even" r:id="rId15"/>
      <w:headerReference w:type="default" r:id="rId16"/>
      <w:footerReference w:type="even" r:id="rId17"/>
      <w:footerReference w:type="default" r:id="rId18"/>
      <w:headerReference w:type="first" r:id="rId19"/>
      <w:footerReference w:type="first" r:id="rId20"/>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95653" w14:textId="77777777" w:rsidR="00704293" w:rsidRDefault="00704293" w:rsidP="006E7567">
      <w:pPr>
        <w:spacing w:after="0" w:line="240" w:lineRule="auto"/>
      </w:pPr>
      <w:r>
        <w:separator/>
      </w:r>
    </w:p>
  </w:endnote>
  <w:endnote w:type="continuationSeparator" w:id="0">
    <w:p w14:paraId="526C8D97" w14:textId="77777777" w:rsidR="00704293" w:rsidRDefault="00704293" w:rsidP="006E7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AE67E" w14:textId="77777777" w:rsidR="00D56896" w:rsidRDefault="00D5689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9843918"/>
      <w:docPartObj>
        <w:docPartGallery w:val="Page Numbers (Bottom of Page)"/>
        <w:docPartUnique/>
      </w:docPartObj>
    </w:sdtPr>
    <w:sdtEndPr/>
    <w:sdtContent>
      <w:p w14:paraId="5DCA16FB" w14:textId="77777777" w:rsidR="00E16396" w:rsidRDefault="00E16396" w:rsidP="00E16396">
        <w:pPr>
          <w:pStyle w:val="Stopka"/>
          <w:jc w:val="center"/>
        </w:pPr>
        <w:r>
          <w:rPr>
            <w:noProof/>
          </w:rPr>
          <w:drawing>
            <wp:inline distT="0" distB="0" distL="0" distR="0" wp14:anchorId="52A14783" wp14:editId="10415F62">
              <wp:extent cx="1905000" cy="38100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381000"/>
                      </a:xfrm>
                      <a:prstGeom prst="rect">
                        <a:avLst/>
                      </a:prstGeom>
                      <a:noFill/>
                      <a:ln>
                        <a:noFill/>
                      </a:ln>
                    </pic:spPr>
                  </pic:pic>
                </a:graphicData>
              </a:graphic>
            </wp:inline>
          </w:drawing>
        </w:r>
      </w:p>
      <w:p w14:paraId="1269ADFE" w14:textId="2CE0886E" w:rsidR="00E16396" w:rsidRDefault="00E16396" w:rsidP="00E16396">
        <w:pPr>
          <w:pStyle w:val="Stopka"/>
          <w:jc w:val="right"/>
        </w:pPr>
        <w:r>
          <w:fldChar w:fldCharType="begin"/>
        </w:r>
        <w:r>
          <w:instrText>PAGE   \* MERGEFORMAT</w:instrText>
        </w:r>
        <w:r>
          <w:fldChar w:fldCharType="separate"/>
        </w:r>
        <w:r w:rsidR="00F32E61">
          <w:rPr>
            <w:noProof/>
          </w:rPr>
          <w:t>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F876D" w14:textId="77777777" w:rsidR="00D56896" w:rsidRDefault="00D568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B402B" w14:textId="77777777" w:rsidR="00704293" w:rsidRDefault="00704293" w:rsidP="006E7567">
      <w:pPr>
        <w:spacing w:after="0" w:line="240" w:lineRule="auto"/>
      </w:pPr>
      <w:r>
        <w:separator/>
      </w:r>
    </w:p>
  </w:footnote>
  <w:footnote w:type="continuationSeparator" w:id="0">
    <w:p w14:paraId="4F1C1EA2" w14:textId="77777777" w:rsidR="00704293" w:rsidRDefault="00704293" w:rsidP="006E75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8E49C" w14:textId="77777777" w:rsidR="00D56896" w:rsidRDefault="00D5689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5AB1E" w14:textId="697F3B69" w:rsidR="00E16396" w:rsidRDefault="00E16396" w:rsidP="00E16396">
    <w:pPr>
      <w:pStyle w:val="Nagwek"/>
      <w:jc w:val="center"/>
    </w:pPr>
    <w:r>
      <w:rPr>
        <w:noProof/>
      </w:rPr>
      <w:drawing>
        <wp:inline distT="0" distB="0" distL="0" distR="0" wp14:anchorId="51171F6F" wp14:editId="7F1DBB90">
          <wp:extent cx="885825" cy="88582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10E55" w14:textId="77777777" w:rsidR="00D56896" w:rsidRDefault="00D5689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pPr>
    </w:lvl>
  </w:abstractNum>
  <w:abstractNum w:abstractNumId="1">
    <w:nsid w:val="00000002"/>
    <w:multiLevelType w:val="multilevel"/>
    <w:tmpl w:val="0000000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2.%3."/>
      <w:lvlJc w:val="right"/>
      <w:pPr>
        <w:ind w:left="2226"/>
      </w:pPr>
    </w:lvl>
    <w:lvl w:ilvl="3">
      <w:start w:val="1"/>
      <w:numFmt w:val="decimal"/>
      <w:lvlText w:val="%2.%3.%4."/>
      <w:lvlJc w:val="left"/>
      <w:pPr>
        <w:ind w:left="2946" w:hanging="360"/>
      </w:pPr>
    </w:lvl>
    <w:lvl w:ilvl="4">
      <w:start w:val="1"/>
      <w:numFmt w:val="lowerLetter"/>
      <w:lvlText w:val="%2.%3.%4.%5."/>
      <w:lvlJc w:val="left"/>
      <w:pPr>
        <w:ind w:left="3666" w:hanging="360"/>
      </w:pPr>
    </w:lvl>
    <w:lvl w:ilvl="5">
      <w:start w:val="1"/>
      <w:numFmt w:val="lowerRoman"/>
      <w:lvlText w:val="%2.%3.%4.%5.%6."/>
      <w:lvlJc w:val="right"/>
      <w:pPr>
        <w:ind w:left="4386"/>
      </w:pPr>
    </w:lvl>
    <w:lvl w:ilvl="6">
      <w:start w:val="1"/>
      <w:numFmt w:val="decimal"/>
      <w:lvlText w:val="%2.%3.%4.%5.%6.%7."/>
      <w:lvlJc w:val="left"/>
      <w:pPr>
        <w:ind w:left="5106" w:hanging="360"/>
      </w:pPr>
    </w:lvl>
    <w:lvl w:ilvl="7">
      <w:start w:val="1"/>
      <w:numFmt w:val="lowerLetter"/>
      <w:lvlText w:val="%2.%3.%4.%5.%6.%7.%8."/>
      <w:lvlJc w:val="left"/>
      <w:pPr>
        <w:ind w:left="5826" w:hanging="360"/>
      </w:pPr>
    </w:lvl>
    <w:lvl w:ilvl="8">
      <w:start w:val="1"/>
      <w:numFmt w:val="lowerRoman"/>
      <w:lvlText w:val="%2.%3.%4.%5.%6.%7.%8.%9."/>
      <w:lvlJc w:val="right"/>
      <w:pPr>
        <w:ind w:left="6546"/>
      </w:pPr>
    </w:lvl>
  </w:abstractNum>
  <w:abstractNum w:abstractNumId="2">
    <w:nsid w:val="00000003"/>
    <w:multiLevelType w:val="multilevel"/>
    <w:tmpl w:val="00000003"/>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2.%3."/>
      <w:lvlJc w:val="right"/>
      <w:pPr>
        <w:ind w:left="2084"/>
      </w:pPr>
    </w:lvl>
    <w:lvl w:ilvl="3">
      <w:start w:val="1"/>
      <w:numFmt w:val="decimal"/>
      <w:lvlText w:val="%2.%3.%4."/>
      <w:lvlJc w:val="left"/>
      <w:pPr>
        <w:ind w:left="2804" w:hanging="360"/>
      </w:pPr>
    </w:lvl>
    <w:lvl w:ilvl="4">
      <w:start w:val="1"/>
      <w:numFmt w:val="lowerLetter"/>
      <w:lvlText w:val="%2.%3.%4.%5."/>
      <w:lvlJc w:val="left"/>
      <w:pPr>
        <w:ind w:left="3524" w:hanging="360"/>
      </w:pPr>
    </w:lvl>
    <w:lvl w:ilvl="5">
      <w:start w:val="1"/>
      <w:numFmt w:val="lowerRoman"/>
      <w:lvlText w:val="%2.%3.%4.%5.%6."/>
      <w:lvlJc w:val="right"/>
      <w:pPr>
        <w:ind w:left="4244"/>
      </w:pPr>
    </w:lvl>
    <w:lvl w:ilvl="6">
      <w:start w:val="1"/>
      <w:numFmt w:val="decimal"/>
      <w:lvlText w:val="%2.%3.%4.%5.%6.%7."/>
      <w:lvlJc w:val="left"/>
      <w:pPr>
        <w:ind w:left="4964" w:hanging="360"/>
      </w:pPr>
    </w:lvl>
    <w:lvl w:ilvl="7">
      <w:start w:val="1"/>
      <w:numFmt w:val="lowerLetter"/>
      <w:lvlText w:val="%2.%3.%4.%5.%6.%7.%8."/>
      <w:lvlJc w:val="left"/>
      <w:pPr>
        <w:ind w:left="5684" w:hanging="360"/>
      </w:pPr>
    </w:lvl>
    <w:lvl w:ilvl="8">
      <w:start w:val="1"/>
      <w:numFmt w:val="lowerRoman"/>
      <w:lvlText w:val="%2.%3.%4.%5.%6.%7.%8.%9."/>
      <w:lvlJc w:val="right"/>
      <w:pPr>
        <w:ind w:left="6404"/>
      </w:pPr>
    </w:lvl>
  </w:abstractNum>
  <w:abstractNum w:abstractNumId="3">
    <w:nsid w:val="00000004"/>
    <w:multiLevelType w:val="multilevel"/>
    <w:tmpl w:val="00000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pPr>
    </w:lvl>
  </w:abstractNum>
  <w:abstractNum w:abstractNumId="4">
    <w:nsid w:val="00000005"/>
    <w:multiLevelType w:val="multilevel"/>
    <w:tmpl w:val="00000005"/>
    <w:lvl w:ilvl="0">
      <w:start w:val="1"/>
      <w:numFmt w:val="bullet"/>
      <w:lvlText w:val=""/>
      <w:lvlJc w:val="left"/>
      <w:pPr>
        <w:ind w:left="1854" w:hanging="360"/>
      </w:pPr>
      <w:rPr>
        <w:rFonts w:ascii="Symbol" w:eastAsia="Times New Roman" w:hAnsi="Symbol" w:cs="Symbol"/>
      </w:rPr>
    </w:lvl>
    <w:lvl w:ilvl="1">
      <w:start w:val="1"/>
      <w:numFmt w:val="bullet"/>
      <w:lvlText w:val="o"/>
      <w:lvlJc w:val="left"/>
      <w:pPr>
        <w:ind w:left="1494" w:hanging="360"/>
      </w:pPr>
      <w:rPr>
        <w:rFonts w:ascii="Times New Roman" w:eastAsia="Times New Roman" w:hAnsi="Times New Roman" w:cs="Times New Roman"/>
      </w:rPr>
    </w:lvl>
    <w:lvl w:ilvl="2">
      <w:start w:val="1"/>
      <w:numFmt w:val="bullet"/>
      <w:lvlText w:val=""/>
      <w:lvlJc w:val="left"/>
      <w:pPr>
        <w:ind w:left="3294" w:hanging="360"/>
      </w:pPr>
      <w:rPr>
        <w:rFonts w:ascii="Times New Roman" w:eastAsia="Times New Roman" w:hAnsi="Times New Roman" w:cs="Times New Roman"/>
      </w:rPr>
    </w:lvl>
    <w:lvl w:ilvl="3">
      <w:start w:val="1"/>
      <w:numFmt w:val="bullet"/>
      <w:lvlText w:val=""/>
      <w:lvlJc w:val="left"/>
      <w:pPr>
        <w:ind w:left="4014" w:hanging="360"/>
      </w:pPr>
      <w:rPr>
        <w:rFonts w:ascii="Symbol" w:eastAsia="Times New Roman" w:hAnsi="Symbol" w:cs="Symbol"/>
      </w:rPr>
    </w:lvl>
    <w:lvl w:ilvl="4">
      <w:start w:val="1"/>
      <w:numFmt w:val="bullet"/>
      <w:lvlText w:val="o"/>
      <w:lvlJc w:val="left"/>
      <w:pPr>
        <w:ind w:left="4734" w:hanging="360"/>
      </w:pPr>
      <w:rPr>
        <w:rFonts w:ascii="Times New Roman" w:eastAsia="Times New Roman" w:hAnsi="Times New Roman" w:cs="Times New Roman"/>
      </w:rPr>
    </w:lvl>
    <w:lvl w:ilvl="5">
      <w:start w:val="1"/>
      <w:numFmt w:val="bullet"/>
      <w:lvlText w:val=""/>
      <w:lvlJc w:val="left"/>
      <w:pPr>
        <w:ind w:left="5454" w:hanging="360"/>
      </w:pPr>
      <w:rPr>
        <w:rFonts w:ascii="Times New Roman" w:eastAsia="Times New Roman" w:hAnsi="Times New Roman" w:cs="Times New Roman"/>
      </w:rPr>
    </w:lvl>
    <w:lvl w:ilvl="6">
      <w:start w:val="1"/>
      <w:numFmt w:val="bullet"/>
      <w:lvlText w:val=""/>
      <w:lvlJc w:val="left"/>
      <w:pPr>
        <w:ind w:left="6174" w:hanging="360"/>
      </w:pPr>
      <w:rPr>
        <w:rFonts w:ascii="Symbol" w:eastAsia="Times New Roman" w:hAnsi="Symbol" w:cs="Symbol"/>
      </w:rPr>
    </w:lvl>
    <w:lvl w:ilvl="7">
      <w:start w:val="1"/>
      <w:numFmt w:val="bullet"/>
      <w:lvlText w:val="o"/>
      <w:lvlJc w:val="left"/>
      <w:pPr>
        <w:ind w:left="6894" w:hanging="360"/>
      </w:pPr>
      <w:rPr>
        <w:rFonts w:ascii="Times New Roman" w:eastAsia="Times New Roman" w:hAnsi="Times New Roman" w:cs="Times New Roman"/>
      </w:rPr>
    </w:lvl>
    <w:lvl w:ilvl="8">
      <w:start w:val="1"/>
      <w:numFmt w:val="bullet"/>
      <w:lvlText w:val=""/>
      <w:lvlJc w:val="left"/>
      <w:pPr>
        <w:ind w:left="7614" w:hanging="360"/>
      </w:pPr>
      <w:rPr>
        <w:rFonts w:ascii="Times New Roman" w:eastAsia="Times New Roman" w:hAnsi="Times New Roman" w:cs="Times New Roman"/>
      </w:rPr>
    </w:lvl>
  </w:abstractNum>
  <w:abstractNum w:abstractNumId="5">
    <w:nsid w:val="00000006"/>
    <w:multiLevelType w:val="multilevel"/>
    <w:tmpl w:val="00000006"/>
    <w:lvl w:ilvl="0">
      <w:start w:val="1"/>
      <w:numFmt w:val="bullet"/>
      <w:lvlText w:val=""/>
      <w:lvlJc w:val="left"/>
      <w:pPr>
        <w:ind w:left="1211" w:hanging="360"/>
      </w:pPr>
      <w:rPr>
        <w:rFonts w:ascii="Symbol" w:eastAsia="Times New Roman" w:hAnsi="Symbol" w:cs="Symbol"/>
      </w:rPr>
    </w:lvl>
    <w:lvl w:ilvl="1">
      <w:start w:val="1"/>
      <w:numFmt w:val="bullet"/>
      <w:lvlText w:val="o"/>
      <w:lvlJc w:val="left"/>
      <w:pPr>
        <w:ind w:left="1931" w:hanging="360"/>
      </w:pPr>
      <w:rPr>
        <w:rFonts w:ascii="Times New Roman" w:eastAsia="Times New Roman" w:hAnsi="Times New Roman" w:cs="Times New Roman"/>
      </w:rPr>
    </w:lvl>
    <w:lvl w:ilvl="2">
      <w:start w:val="1"/>
      <w:numFmt w:val="bullet"/>
      <w:lvlText w:val=""/>
      <w:lvlJc w:val="left"/>
      <w:pPr>
        <w:ind w:left="2651" w:hanging="360"/>
      </w:pPr>
      <w:rPr>
        <w:rFonts w:ascii="Times New Roman" w:eastAsia="Times New Roman" w:hAnsi="Times New Roman" w:cs="Times New Roman"/>
      </w:rPr>
    </w:lvl>
    <w:lvl w:ilvl="3">
      <w:start w:val="1"/>
      <w:numFmt w:val="bullet"/>
      <w:lvlText w:val=""/>
      <w:lvlJc w:val="left"/>
      <w:pPr>
        <w:ind w:left="3371" w:hanging="360"/>
      </w:pPr>
      <w:rPr>
        <w:rFonts w:ascii="Symbol" w:eastAsia="Times New Roman" w:hAnsi="Symbol" w:cs="Symbol"/>
      </w:rPr>
    </w:lvl>
    <w:lvl w:ilvl="4">
      <w:start w:val="1"/>
      <w:numFmt w:val="bullet"/>
      <w:lvlText w:val="o"/>
      <w:lvlJc w:val="left"/>
      <w:pPr>
        <w:ind w:left="4091" w:hanging="360"/>
      </w:pPr>
      <w:rPr>
        <w:rFonts w:ascii="Times New Roman" w:eastAsia="Times New Roman" w:hAnsi="Times New Roman" w:cs="Times New Roman"/>
      </w:rPr>
    </w:lvl>
    <w:lvl w:ilvl="5">
      <w:start w:val="1"/>
      <w:numFmt w:val="bullet"/>
      <w:lvlText w:val=""/>
      <w:lvlJc w:val="left"/>
      <w:pPr>
        <w:ind w:left="4811" w:hanging="360"/>
      </w:pPr>
      <w:rPr>
        <w:rFonts w:ascii="Times New Roman" w:eastAsia="Times New Roman" w:hAnsi="Times New Roman" w:cs="Times New Roman"/>
      </w:rPr>
    </w:lvl>
    <w:lvl w:ilvl="6">
      <w:start w:val="1"/>
      <w:numFmt w:val="bullet"/>
      <w:lvlText w:val=""/>
      <w:lvlJc w:val="left"/>
      <w:pPr>
        <w:ind w:left="5531" w:hanging="360"/>
      </w:pPr>
      <w:rPr>
        <w:rFonts w:ascii="Symbol" w:eastAsia="Times New Roman" w:hAnsi="Symbol" w:cs="Symbol"/>
      </w:rPr>
    </w:lvl>
    <w:lvl w:ilvl="7">
      <w:start w:val="1"/>
      <w:numFmt w:val="bullet"/>
      <w:lvlText w:val="o"/>
      <w:lvlJc w:val="left"/>
      <w:pPr>
        <w:ind w:left="6251" w:hanging="360"/>
      </w:pPr>
      <w:rPr>
        <w:rFonts w:ascii="Times New Roman" w:eastAsia="Times New Roman" w:hAnsi="Times New Roman" w:cs="Times New Roman"/>
      </w:rPr>
    </w:lvl>
    <w:lvl w:ilvl="8">
      <w:start w:val="1"/>
      <w:numFmt w:val="bullet"/>
      <w:lvlText w:val=""/>
      <w:lvlJc w:val="left"/>
      <w:pPr>
        <w:ind w:left="6971" w:hanging="360"/>
      </w:pPr>
      <w:rPr>
        <w:rFonts w:ascii="Times New Roman" w:eastAsia="Times New Roman" w:hAnsi="Times New Roman" w:cs="Times New Roman"/>
      </w:rPr>
    </w:lvl>
  </w:abstractNum>
  <w:abstractNum w:abstractNumId="6">
    <w:nsid w:val="00000007"/>
    <w:multiLevelType w:val="multilevel"/>
    <w:tmpl w:val="00000007"/>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2.%3."/>
      <w:lvlJc w:val="right"/>
      <w:pPr>
        <w:ind w:left="180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pPr>
    </w:lvl>
  </w:abstractNum>
  <w:abstractNum w:abstractNumId="7">
    <w:nsid w:val="00000008"/>
    <w:multiLevelType w:val="multilevel"/>
    <w:tmpl w:val="000000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pPr>
    </w:lvl>
  </w:abstractNum>
  <w:abstractNum w:abstractNumId="8">
    <w:nsid w:val="00000009"/>
    <w:multiLevelType w:val="multilevel"/>
    <w:tmpl w:val="00000009"/>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2.%3."/>
      <w:lvlJc w:val="right"/>
      <w:pPr>
        <w:ind w:left="180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AD7"/>
    <w:rsid w:val="000E00F1"/>
    <w:rsid w:val="000F59B4"/>
    <w:rsid w:val="00115CCF"/>
    <w:rsid w:val="00126B4C"/>
    <w:rsid w:val="001415A9"/>
    <w:rsid w:val="00157563"/>
    <w:rsid w:val="0017177F"/>
    <w:rsid w:val="00192015"/>
    <w:rsid w:val="001A0A72"/>
    <w:rsid w:val="001C39C1"/>
    <w:rsid w:val="00213480"/>
    <w:rsid w:val="00214676"/>
    <w:rsid w:val="002530FA"/>
    <w:rsid w:val="002A7E58"/>
    <w:rsid w:val="002D2AD7"/>
    <w:rsid w:val="002E512D"/>
    <w:rsid w:val="00371D48"/>
    <w:rsid w:val="00374A35"/>
    <w:rsid w:val="00447F99"/>
    <w:rsid w:val="00453B78"/>
    <w:rsid w:val="00461CB9"/>
    <w:rsid w:val="004B05FC"/>
    <w:rsid w:val="004F68B7"/>
    <w:rsid w:val="00515BB0"/>
    <w:rsid w:val="00560668"/>
    <w:rsid w:val="00566F75"/>
    <w:rsid w:val="0056798F"/>
    <w:rsid w:val="005A7778"/>
    <w:rsid w:val="005B45F0"/>
    <w:rsid w:val="005C27EE"/>
    <w:rsid w:val="005F0548"/>
    <w:rsid w:val="0060303A"/>
    <w:rsid w:val="00626D4B"/>
    <w:rsid w:val="00637874"/>
    <w:rsid w:val="00697F84"/>
    <w:rsid w:val="006A68C5"/>
    <w:rsid w:val="006D0669"/>
    <w:rsid w:val="006D7DBB"/>
    <w:rsid w:val="006E7567"/>
    <w:rsid w:val="00703B94"/>
    <w:rsid w:val="00704293"/>
    <w:rsid w:val="0071764F"/>
    <w:rsid w:val="00733D67"/>
    <w:rsid w:val="007869E0"/>
    <w:rsid w:val="007943E7"/>
    <w:rsid w:val="007B4818"/>
    <w:rsid w:val="007E0EA1"/>
    <w:rsid w:val="0080060A"/>
    <w:rsid w:val="008500D9"/>
    <w:rsid w:val="00881A16"/>
    <w:rsid w:val="00897BB1"/>
    <w:rsid w:val="008A326E"/>
    <w:rsid w:val="008B54F9"/>
    <w:rsid w:val="00951021"/>
    <w:rsid w:val="009716E5"/>
    <w:rsid w:val="00977600"/>
    <w:rsid w:val="00994163"/>
    <w:rsid w:val="009A14D9"/>
    <w:rsid w:val="009D2F14"/>
    <w:rsid w:val="00A037BE"/>
    <w:rsid w:val="00A23315"/>
    <w:rsid w:val="00A56881"/>
    <w:rsid w:val="00A966A3"/>
    <w:rsid w:val="00AA5B88"/>
    <w:rsid w:val="00B41447"/>
    <w:rsid w:val="00B43597"/>
    <w:rsid w:val="00B66162"/>
    <w:rsid w:val="00B924F5"/>
    <w:rsid w:val="00BD0CFA"/>
    <w:rsid w:val="00BD4D84"/>
    <w:rsid w:val="00C0196E"/>
    <w:rsid w:val="00C678D4"/>
    <w:rsid w:val="00C77CC8"/>
    <w:rsid w:val="00C96DDA"/>
    <w:rsid w:val="00CB11DD"/>
    <w:rsid w:val="00CC4886"/>
    <w:rsid w:val="00CD5C0E"/>
    <w:rsid w:val="00D010EC"/>
    <w:rsid w:val="00D166EB"/>
    <w:rsid w:val="00D56896"/>
    <w:rsid w:val="00D876B4"/>
    <w:rsid w:val="00DC2DDD"/>
    <w:rsid w:val="00DD313A"/>
    <w:rsid w:val="00E16396"/>
    <w:rsid w:val="00E27E96"/>
    <w:rsid w:val="00E477F8"/>
    <w:rsid w:val="00EB1E2C"/>
    <w:rsid w:val="00EB4AF2"/>
    <w:rsid w:val="00EF0DFC"/>
    <w:rsid w:val="00EF4367"/>
    <w:rsid w:val="00F11EF6"/>
    <w:rsid w:val="00F13B22"/>
    <w:rsid w:val="00F204AC"/>
    <w:rsid w:val="00F254DE"/>
    <w:rsid w:val="00F32E61"/>
    <w:rsid w:val="00F33A93"/>
    <w:rsid w:val="00F36484"/>
    <w:rsid w:val="00F41CB6"/>
    <w:rsid w:val="00F52F54"/>
    <w:rsid w:val="00F743F9"/>
    <w:rsid w:val="00F81BEF"/>
    <w:rsid w:val="00FA3F81"/>
    <w:rsid w:val="00FB537F"/>
    <w:rsid w:val="00FC6D21"/>
    <w:rsid w:val="00FD39A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85D9A"/>
  <w15:chartTrackingRefBased/>
  <w15:docId w15:val="{F135009C-E24B-4521-A126-4DCFAAAFE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5C0E"/>
    <w:rPr>
      <w:rFonts w:eastAsiaTheme="minorEastAsia"/>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47F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6E7567"/>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6E7567"/>
  </w:style>
  <w:style w:type="paragraph" w:styleId="Stopka">
    <w:name w:val="footer"/>
    <w:basedOn w:val="Normalny"/>
    <w:link w:val="StopkaZnak"/>
    <w:uiPriority w:val="99"/>
    <w:unhideWhenUsed/>
    <w:rsid w:val="006E7567"/>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6E7567"/>
  </w:style>
  <w:style w:type="paragraph" w:styleId="Tekstdymka">
    <w:name w:val="Balloon Text"/>
    <w:basedOn w:val="Normalny"/>
    <w:link w:val="TekstdymkaZnak"/>
    <w:uiPriority w:val="99"/>
    <w:semiHidden/>
    <w:unhideWhenUsed/>
    <w:rsid w:val="00FD39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39A9"/>
    <w:rPr>
      <w:rFonts w:ascii="Segoe UI" w:hAnsi="Segoe UI" w:cs="Segoe UI"/>
      <w:sz w:val="18"/>
      <w:szCs w:val="18"/>
    </w:rPr>
  </w:style>
  <w:style w:type="paragraph" w:customStyle="1" w:styleId="Default">
    <w:name w:val="Default"/>
    <w:rsid w:val="00CD5C0E"/>
    <w:pPr>
      <w:widowControl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character" w:styleId="Uwydatnienie">
    <w:name w:val="Emphasis"/>
    <w:basedOn w:val="Domylnaczcionkaakapitu"/>
    <w:uiPriority w:val="99"/>
    <w:qFormat/>
    <w:rsid w:val="00CD5C0E"/>
    <w:rPr>
      <w:i/>
      <w:iCs/>
    </w:rPr>
  </w:style>
  <w:style w:type="paragraph" w:customStyle="1" w:styleId="Textbody">
    <w:name w:val="Text body"/>
    <w:basedOn w:val="Default"/>
    <w:uiPriority w:val="99"/>
    <w:rsid w:val="00CD5C0E"/>
    <w:pPr>
      <w:autoSpaceDE w:val="0"/>
      <w:spacing w:after="120"/>
    </w:pPr>
    <w:rPr>
      <w:kern w:val="0"/>
      <w:lang w:bidi="ar-SA"/>
    </w:rPr>
  </w:style>
  <w:style w:type="paragraph" w:customStyle="1" w:styleId="Domynie">
    <w:name w:val="Domy徑nie"/>
    <w:uiPriority w:val="99"/>
    <w:rsid w:val="00CD5C0E"/>
    <w:pPr>
      <w:widowControl w:val="0"/>
      <w:autoSpaceDN w:val="0"/>
      <w:adjustRightInd w:val="0"/>
      <w:spacing w:after="0" w:line="240" w:lineRule="auto"/>
    </w:pPr>
    <w:rPr>
      <w:rFonts w:ascii="Times New Roman" w:eastAsia="Times New Roman" w:hAnsi="Times New Roman" w:cs="Times New Roman"/>
      <w:kern w:val="1"/>
      <w:sz w:val="24"/>
      <w:szCs w:val="24"/>
      <w:lang w:val="x-none" w:eastAsia="x-none" w:bidi="hi-IN"/>
    </w:rPr>
  </w:style>
  <w:style w:type="paragraph" w:customStyle="1" w:styleId="WW-Domylnie11">
    <w:name w:val="WW-Domy?lnie11"/>
    <w:uiPriority w:val="99"/>
    <w:rsid w:val="00CD5C0E"/>
    <w:pPr>
      <w:widowControl w:val="0"/>
      <w:autoSpaceDN w:val="0"/>
      <w:adjustRightInd w:val="0"/>
      <w:spacing w:after="0" w:line="240" w:lineRule="auto"/>
    </w:pPr>
    <w:rPr>
      <w:rFonts w:ascii="Times New Roman" w:eastAsia="Times New Roman" w:hAnsi="Times New Roman" w:cs="Times New Roman"/>
      <w:kern w:val="1"/>
      <w:sz w:val="24"/>
      <w:szCs w:val="24"/>
      <w:lang w:val="pl-PL" w:eastAsia="pl-PL" w:bidi="hi-IN"/>
    </w:rPr>
  </w:style>
  <w:style w:type="paragraph" w:customStyle="1" w:styleId="TableContents">
    <w:name w:val="Table Contents"/>
    <w:basedOn w:val="Domynie"/>
    <w:uiPriority w:val="99"/>
    <w:rsid w:val="00CD5C0E"/>
    <w:pPr>
      <w:autoSpaceDE w:val="0"/>
    </w:pPr>
    <w:rPr>
      <w:kern w:val="0"/>
      <w:lang w:bidi="ar-SA"/>
    </w:rPr>
  </w:style>
  <w:style w:type="paragraph" w:styleId="Akapitzlist">
    <w:name w:val="List Paragraph"/>
    <w:basedOn w:val="Default"/>
    <w:uiPriority w:val="99"/>
    <w:qFormat/>
    <w:rsid w:val="00CD5C0E"/>
    <w:pPr>
      <w:ind w:left="720"/>
    </w:pPr>
    <w:rPr>
      <w:lang w:bidi="ar-SA"/>
    </w:rPr>
  </w:style>
  <w:style w:type="paragraph" w:customStyle="1" w:styleId="Textbodyindent">
    <w:name w:val="Text body indent"/>
    <w:basedOn w:val="Default"/>
    <w:uiPriority w:val="99"/>
    <w:rsid w:val="00CD5C0E"/>
    <w:pPr>
      <w:spacing w:after="120"/>
      <w:ind w:left="283"/>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f.gov.pl/ministerstwo-finansow/dzialalnosc/giif" TargetMode="External"/><Relationship Id="rId13" Type="http://schemas.openxmlformats.org/officeDocument/2006/relationships/hyperlink" Target="https://www.gov.pl/web/finanse/generalny-inspektor-informacji-finansowej"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v.pl/web/finanse/generalny-inspektor-informacji-finansowej"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finanse/generalny-inspektor-informacji-finansowej"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f.gov.pl/ministerstwo-finansow/dzialalnosc/gii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mf.gov.pl/ministerstwo-finansow/dzialalnosc/giif" TargetMode="External"/><Relationship Id="rId14" Type="http://schemas.openxmlformats.org/officeDocument/2006/relationships/hyperlink" Target="http://www.notaris.pl/"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2BA8E-3693-4779-A809-525354B60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9</Pages>
  <Words>2971</Words>
  <Characters>17826</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mateusz@softcream.pl</dc:creator>
  <cp:keywords/>
  <dc:description/>
  <cp:lastModifiedBy>Notaris</cp:lastModifiedBy>
  <cp:revision>24</cp:revision>
  <dcterms:created xsi:type="dcterms:W3CDTF">2021-11-15T13:09:00Z</dcterms:created>
  <dcterms:modified xsi:type="dcterms:W3CDTF">2021-11-16T20:48:00Z</dcterms:modified>
</cp:coreProperties>
</file>